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57749">
      <w:pPr>
        <w:bidi w:val="0"/>
        <w:spacing w:line="360" w:lineRule="auto"/>
        <w:ind w:left="0" w:leftChars="0" w:firstLine="0" w:firstLineChars="0"/>
        <w:jc w:val="center"/>
        <w:outlineLvl w:val="9"/>
        <w:rPr>
          <w:rFonts w:hint="eastAsia" w:ascii="方正小标宋简体" w:hAnsi="方正小标宋简体" w:eastAsia="方正小标宋简体" w:cs="Times New Roman"/>
          <w:b/>
          <w:bCs/>
          <w:color w:val="auto"/>
          <w:sz w:val="52"/>
          <w:szCs w:val="52"/>
          <w:highlight w:val="none"/>
          <w:lang w:val="en-US" w:eastAsia="zh-CN"/>
        </w:rPr>
      </w:pPr>
      <w:bookmarkStart w:id="0" w:name="_Toc7187"/>
    </w:p>
    <w:p w14:paraId="10E5B60E">
      <w:pPr>
        <w:bidi w:val="0"/>
        <w:spacing w:line="360" w:lineRule="auto"/>
        <w:ind w:left="0" w:leftChars="0" w:firstLine="0" w:firstLineChars="0"/>
        <w:jc w:val="center"/>
        <w:outlineLvl w:val="9"/>
        <w:rPr>
          <w:rFonts w:hint="eastAsia" w:ascii="方正小标宋简体" w:hAnsi="方正小标宋简体" w:eastAsia="方正小标宋简体" w:cs="Times New Roman"/>
          <w:b/>
          <w:bCs/>
          <w:color w:val="auto"/>
          <w:sz w:val="52"/>
          <w:szCs w:val="52"/>
          <w:highlight w:val="none"/>
          <w:lang w:val="en-US" w:eastAsia="zh-CN"/>
        </w:rPr>
      </w:pPr>
    </w:p>
    <w:p w14:paraId="6B186B97">
      <w:pPr>
        <w:bidi w:val="0"/>
        <w:spacing w:line="360" w:lineRule="auto"/>
        <w:ind w:left="0" w:leftChars="0" w:firstLine="0" w:firstLineChars="0"/>
        <w:jc w:val="center"/>
        <w:outlineLvl w:val="9"/>
        <w:rPr>
          <w:rFonts w:hint="eastAsia" w:ascii="方正小标宋简体" w:hAnsi="方正小标宋简体" w:eastAsia="方正小标宋简体" w:cs="Times New Roman"/>
          <w:b/>
          <w:bCs/>
          <w:color w:val="auto"/>
          <w:sz w:val="52"/>
          <w:szCs w:val="52"/>
          <w:highlight w:val="none"/>
          <w:lang w:val="en-US" w:eastAsia="zh-CN"/>
        </w:rPr>
      </w:pPr>
      <w:r>
        <w:rPr>
          <w:rFonts w:hint="eastAsia" w:ascii="方正小标宋简体" w:hAnsi="方正小标宋简体" w:eastAsia="方正小标宋简体" w:cs="Times New Roman"/>
          <w:b/>
          <w:bCs/>
          <w:color w:val="auto"/>
          <w:sz w:val="52"/>
          <w:szCs w:val="52"/>
          <w:highlight w:val="none"/>
          <w:lang w:val="en-US" w:eastAsia="zh-CN"/>
        </w:rPr>
        <w:t>宾阳县国民经济和社会发展</w:t>
      </w:r>
      <w:bookmarkEnd w:id="0"/>
      <w:bookmarkStart w:id="1" w:name="_Toc30579"/>
    </w:p>
    <w:p w14:paraId="752E9A75">
      <w:pPr>
        <w:bidi w:val="0"/>
        <w:spacing w:line="360" w:lineRule="auto"/>
        <w:ind w:left="0" w:leftChars="0" w:firstLine="0" w:firstLineChars="0"/>
        <w:jc w:val="center"/>
        <w:outlineLvl w:val="9"/>
        <w:rPr>
          <w:rFonts w:hint="eastAsia" w:ascii="方正小标宋简体" w:hAnsi="方正小标宋简体" w:eastAsia="方正小标宋简体" w:cs="Times New Roman"/>
          <w:b/>
          <w:bCs/>
          <w:color w:val="auto"/>
          <w:sz w:val="52"/>
          <w:szCs w:val="52"/>
          <w:highlight w:val="none"/>
          <w:lang w:val="en-US" w:eastAsia="zh-CN"/>
        </w:rPr>
      </w:pPr>
      <w:r>
        <w:rPr>
          <w:rFonts w:hint="eastAsia" w:ascii="方正小标宋简体" w:hAnsi="方正小标宋简体" w:eastAsia="方正小标宋简体" w:cs="Times New Roman"/>
          <w:b/>
          <w:bCs/>
          <w:color w:val="auto"/>
          <w:sz w:val="52"/>
          <w:szCs w:val="52"/>
          <w:highlight w:val="none"/>
          <w:lang w:val="en-US" w:eastAsia="zh-CN"/>
        </w:rPr>
        <w:t>第十五个五年规划</w:t>
      </w:r>
      <w:bookmarkEnd w:id="1"/>
      <w:r>
        <w:rPr>
          <w:rFonts w:hint="eastAsia" w:ascii="方正小标宋简体" w:hAnsi="方正小标宋简体" w:eastAsia="方正小标宋简体" w:cs="Times New Roman"/>
          <w:b/>
          <w:bCs/>
          <w:color w:val="auto"/>
          <w:sz w:val="52"/>
          <w:szCs w:val="52"/>
          <w:highlight w:val="none"/>
          <w:lang w:val="en-US" w:eastAsia="zh-CN"/>
        </w:rPr>
        <w:t>纲要</w:t>
      </w:r>
    </w:p>
    <w:p w14:paraId="28131EEA">
      <w:pPr>
        <w:bidi w:val="0"/>
        <w:ind w:firstLine="0" w:firstLineChars="0"/>
        <w:jc w:val="center"/>
        <w:rPr>
          <w:rFonts w:hint="eastAsia" w:ascii="方正小标宋简体" w:hAnsi="方正小标宋简体" w:eastAsia="方正小标宋简体" w:cs="Times New Roman"/>
          <w:b/>
          <w:bCs/>
          <w:color w:val="auto"/>
          <w:sz w:val="52"/>
          <w:szCs w:val="52"/>
          <w:highlight w:val="none"/>
          <w:lang w:val="en-US" w:eastAsia="zh-CN"/>
        </w:rPr>
      </w:pPr>
      <w:r>
        <w:rPr>
          <w:rFonts w:hint="eastAsia" w:ascii="方正小标宋简体" w:hAnsi="方正小标宋简体" w:eastAsia="方正小标宋简体" w:cs="Times New Roman"/>
          <w:b/>
          <w:bCs/>
          <w:color w:val="auto"/>
          <w:sz w:val="40"/>
          <w:szCs w:val="40"/>
          <w:highlight w:val="none"/>
          <w:lang w:val="en-US" w:eastAsia="zh-CN"/>
        </w:rPr>
        <w:t>（征求意见稿）</w:t>
      </w:r>
    </w:p>
    <w:p w14:paraId="1AD9CBE2">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2E35B118">
      <w:pPr>
        <w:bidi w:val="0"/>
        <w:jc w:val="center"/>
        <w:rPr>
          <w:rFonts w:hint="eastAsia" w:ascii="宋体" w:hAnsi="宋体" w:eastAsia="宋体" w:cs="Times New Roman"/>
          <w:b/>
          <w:bCs/>
          <w:color w:val="auto"/>
          <w:sz w:val="18"/>
          <w:szCs w:val="18"/>
          <w:highlight w:val="none"/>
          <w:lang w:val="en-US" w:eastAsia="zh-CN"/>
        </w:rPr>
      </w:pPr>
    </w:p>
    <w:p w14:paraId="5F422573">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22D70E29">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58C6F1FC">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3437A5EF">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07790890">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6A8A9BEA">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46110A5D">
      <w:pPr>
        <w:bidi w:val="0"/>
        <w:jc w:val="center"/>
        <w:rPr>
          <w:rFonts w:hint="eastAsia" w:ascii="方正小标宋简体" w:hAnsi="方正小标宋简体" w:eastAsia="方正小标宋简体" w:cs="Times New Roman"/>
          <w:b/>
          <w:bCs/>
          <w:color w:val="auto"/>
          <w:sz w:val="52"/>
          <w:szCs w:val="52"/>
          <w:highlight w:val="none"/>
          <w:lang w:val="en-US" w:eastAsia="zh-CN"/>
        </w:rPr>
      </w:pPr>
    </w:p>
    <w:p w14:paraId="38D51B36">
      <w:pPr>
        <w:bidi w:val="0"/>
        <w:rPr>
          <w:rFonts w:hint="eastAsia" w:cs="Times New Roman"/>
          <w:color w:val="auto"/>
          <w:highlight w:val="none"/>
          <w:lang w:val="en-US" w:eastAsia="zh-CN"/>
        </w:rPr>
      </w:pPr>
    </w:p>
    <w:p w14:paraId="7EE28515">
      <w:pPr>
        <w:rPr>
          <w:rFonts w:hint="eastAsia" w:ascii="方正小标宋简体" w:hAnsi="方正小标宋简体" w:eastAsia="方正小标宋简体" w:cs="Times New Roman"/>
          <w:b/>
          <w:bCs/>
          <w:color w:val="auto"/>
          <w:sz w:val="52"/>
          <w:szCs w:val="52"/>
          <w:highlight w:val="none"/>
          <w:lang w:val="en-US" w:eastAsia="zh-CN"/>
        </w:rPr>
      </w:pPr>
    </w:p>
    <w:p w14:paraId="43D34837">
      <w:pPr>
        <w:bidi w:val="0"/>
        <w:rPr>
          <w:rFonts w:hint="eastAsia" w:cs="Times New Roman"/>
          <w:color w:val="auto"/>
          <w:highlight w:val="none"/>
          <w:lang w:val="en-US" w:eastAsia="zh-CN"/>
        </w:rPr>
      </w:pPr>
    </w:p>
    <w:p w14:paraId="75504CDC">
      <w:pPr>
        <w:rPr>
          <w:rFonts w:hint="eastAsia" w:cs="Times New Roman"/>
          <w:color w:val="auto"/>
          <w:highlight w:val="none"/>
          <w:lang w:val="en-US" w:eastAsia="zh-CN"/>
        </w:rPr>
      </w:pPr>
    </w:p>
    <w:p w14:paraId="2689C054">
      <w:pPr>
        <w:bidi w:val="0"/>
        <w:jc w:val="center"/>
        <w:rPr>
          <w:rFonts w:hint="eastAsia" w:ascii="方正小标宋简体" w:hAnsi="方正小标宋简体" w:eastAsia="方正小标宋简体" w:cs="Times New Roman"/>
          <w:b/>
          <w:bCs/>
          <w:color w:val="auto"/>
          <w:sz w:val="32"/>
          <w:szCs w:val="32"/>
          <w:highlight w:val="none"/>
          <w:lang w:val="en-US" w:eastAsia="zh-CN"/>
        </w:rPr>
      </w:pPr>
      <w:r>
        <w:rPr>
          <w:rFonts w:hint="eastAsia" w:ascii="方正小标宋简体" w:hAnsi="方正小标宋简体" w:eastAsia="方正小标宋简体" w:cs="Times New Roman"/>
          <w:b/>
          <w:bCs/>
          <w:color w:val="auto"/>
          <w:sz w:val="32"/>
          <w:szCs w:val="32"/>
          <w:highlight w:val="none"/>
          <w:lang w:val="en-US" w:eastAsia="zh-CN"/>
        </w:rPr>
        <w:t>宾阳县人民政府</w:t>
      </w:r>
    </w:p>
    <w:p w14:paraId="32251FCC">
      <w:pPr>
        <w:bidi w:val="0"/>
        <w:jc w:val="center"/>
        <w:rPr>
          <w:rFonts w:hint="eastAsia" w:ascii="方正小标宋简体" w:hAnsi="方正小标宋简体" w:eastAsia="方正小标宋简体" w:cs="Times New Roman"/>
          <w:b/>
          <w:bCs/>
          <w:color w:val="auto"/>
          <w:sz w:val="32"/>
          <w:szCs w:val="32"/>
          <w:highlight w:val="none"/>
          <w:lang w:val="en-US" w:eastAsia="zh-CN"/>
        </w:rPr>
        <w:sectPr>
          <w:pgSz w:w="11906" w:h="16838"/>
          <w:pgMar w:top="2098" w:right="1474" w:bottom="1984" w:left="1587" w:header="851" w:footer="992" w:gutter="0"/>
          <w:pgNumType w:fmt="numberInDash"/>
          <w:cols w:space="425" w:num="1"/>
          <w:docGrid w:type="lines" w:linePitch="312" w:charSpace="0"/>
        </w:sectPr>
      </w:pPr>
      <w:r>
        <w:rPr>
          <w:rFonts w:hint="eastAsia" w:ascii="方正小标宋简体" w:hAnsi="方正小标宋简体" w:eastAsia="方正小标宋简体" w:cs="Times New Roman"/>
          <w:b/>
          <w:bCs/>
          <w:color w:val="auto"/>
          <w:sz w:val="32"/>
          <w:szCs w:val="32"/>
          <w:highlight w:val="none"/>
          <w:lang w:val="en-US" w:eastAsia="zh-CN"/>
        </w:rPr>
        <w:t>2025年12</w:t>
      </w:r>
      <w:bookmarkStart w:id="364" w:name="_GoBack"/>
      <w:bookmarkEnd w:id="364"/>
      <w:r>
        <w:rPr>
          <w:rFonts w:hint="eastAsia" w:ascii="方正小标宋简体" w:hAnsi="方正小标宋简体" w:eastAsia="方正小标宋简体" w:cs="Times New Roman"/>
          <w:b/>
          <w:bCs/>
          <w:color w:val="auto"/>
          <w:sz w:val="32"/>
          <w:szCs w:val="32"/>
          <w:highlight w:val="none"/>
          <w:lang w:val="en-US" w:eastAsia="zh-CN"/>
        </w:rPr>
        <w:t>月</w:t>
      </w:r>
    </w:p>
    <w:p w14:paraId="5B219DE3">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kern w:val="2"/>
          <w:sz w:val="32"/>
          <w:szCs w:val="32"/>
          <w:highlight w:val="none"/>
          <w:lang w:val="en-US" w:eastAsia="zh-CN" w:bidi="ar"/>
        </w:rPr>
        <w:t>宾阳县第</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届人民代表大会第</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次会议审查了县人民政府提出的《宾阳县国民经济和社会发展第十</w:t>
      </w:r>
      <w:r>
        <w:rPr>
          <w:rFonts w:hint="eastAsia" w:ascii="仿宋_GB2312" w:hAnsi="仿宋_GB2312" w:cs="仿宋_GB2312"/>
          <w:color w:val="auto"/>
          <w:kern w:val="2"/>
          <w:sz w:val="32"/>
          <w:szCs w:val="32"/>
          <w:highlight w:val="none"/>
          <w:lang w:val="en-US" w:eastAsia="zh-CN" w:bidi="ar"/>
        </w:rPr>
        <w:t>五</w:t>
      </w:r>
      <w:r>
        <w:rPr>
          <w:rFonts w:hint="eastAsia" w:ascii="仿宋_GB2312" w:hAnsi="仿宋_GB2312" w:eastAsia="仿宋_GB2312" w:cs="仿宋_GB2312"/>
          <w:color w:val="auto"/>
          <w:kern w:val="2"/>
          <w:sz w:val="32"/>
          <w:szCs w:val="32"/>
          <w:highlight w:val="none"/>
          <w:lang w:val="en-US" w:eastAsia="zh-CN" w:bidi="ar"/>
        </w:rPr>
        <w:t>个五年规划纲要（草案）》（以下简称《纲要》）,会议同意县</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届人大</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 xml:space="preserve">次会议计划和预算审查委员会的审查结果报告，决定批准这个《纲要》。 </w:t>
      </w:r>
    </w:p>
    <w:p w14:paraId="36724D9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kern w:val="2"/>
          <w:sz w:val="32"/>
          <w:szCs w:val="32"/>
          <w:highlight w:val="none"/>
          <w:lang w:val="en-US" w:eastAsia="zh-CN" w:bidi="ar"/>
        </w:rPr>
        <w:t>会议认为,《纲要》坚持以习近平新时代中国特色社会主义思想为指导，全面贯彻了党的二十大精神及</w:t>
      </w:r>
      <w:r>
        <w:rPr>
          <w:rFonts w:hint="eastAsia" w:ascii="仿宋_GB2312" w:hAnsi="仿宋_GB2312" w:cs="仿宋_GB2312"/>
          <w:color w:val="auto"/>
          <w:kern w:val="2"/>
          <w:sz w:val="32"/>
          <w:szCs w:val="32"/>
          <w:highlight w:val="none"/>
          <w:lang w:val="en-US" w:eastAsia="zh-CN" w:bidi="ar"/>
        </w:rPr>
        <w:t>二十届</w:t>
      </w:r>
      <w:r>
        <w:rPr>
          <w:rFonts w:hint="eastAsia" w:ascii="仿宋_GB2312" w:hAnsi="仿宋_GB2312" w:eastAsia="仿宋_GB2312" w:cs="仿宋_GB2312"/>
          <w:color w:val="auto"/>
          <w:kern w:val="2"/>
          <w:sz w:val="32"/>
          <w:szCs w:val="32"/>
          <w:highlight w:val="none"/>
          <w:lang w:val="en-US" w:eastAsia="zh-CN" w:bidi="ar"/>
        </w:rPr>
        <w:t>历次全会精神，深入落实习近平总书记关于广西工作的重要论述，</w:t>
      </w:r>
      <w:r>
        <w:rPr>
          <w:rFonts w:hint="eastAsia" w:ascii="仿宋_GB2312" w:hAnsi="仿宋_GB2312" w:cs="仿宋_GB2312"/>
          <w:color w:val="auto"/>
          <w:kern w:val="2"/>
          <w:sz w:val="32"/>
          <w:szCs w:val="32"/>
          <w:highlight w:val="none"/>
          <w:lang w:val="en-US" w:eastAsia="zh-CN" w:bidi="ar"/>
        </w:rPr>
        <w:t>与</w:t>
      </w:r>
      <w:r>
        <w:rPr>
          <w:rFonts w:hint="eastAsia" w:ascii="仿宋_GB2312" w:hAnsi="仿宋_GB2312" w:eastAsia="仿宋_GB2312" w:cs="仿宋_GB2312"/>
          <w:color w:val="auto"/>
          <w:kern w:val="2"/>
          <w:sz w:val="32"/>
          <w:szCs w:val="32"/>
          <w:highlight w:val="none"/>
          <w:lang w:val="en-US" w:eastAsia="zh-CN" w:bidi="ar"/>
        </w:rPr>
        <w:t>县第</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次党代会</w:t>
      </w:r>
      <w:r>
        <w:rPr>
          <w:rFonts w:hint="eastAsia" w:ascii="仿宋_GB2312" w:hAnsi="仿宋_GB2312" w:cs="仿宋_GB2312"/>
          <w:color w:val="auto"/>
          <w:kern w:val="2"/>
          <w:sz w:val="32"/>
          <w:szCs w:val="32"/>
          <w:highlight w:val="none"/>
          <w:lang w:val="en-US" w:eastAsia="zh-CN" w:bidi="ar"/>
        </w:rPr>
        <w:t>相关会议</w:t>
      </w:r>
      <w:r>
        <w:rPr>
          <w:rFonts w:hint="eastAsia" w:ascii="仿宋_GB2312" w:hAnsi="仿宋_GB2312" w:eastAsia="仿宋_GB2312" w:cs="仿宋_GB2312"/>
          <w:color w:val="auto"/>
          <w:kern w:val="2"/>
          <w:sz w:val="32"/>
          <w:szCs w:val="32"/>
          <w:highlight w:val="none"/>
          <w:lang w:val="en-US" w:eastAsia="zh-CN" w:bidi="ar"/>
        </w:rPr>
        <w:t>和《中国共产党宾阳县委员会关于制定宾阳县国民经济和社会发展第十</w:t>
      </w:r>
      <w:r>
        <w:rPr>
          <w:rFonts w:hint="eastAsia" w:ascii="仿宋_GB2312" w:hAnsi="仿宋_GB2312" w:cs="仿宋_GB2312"/>
          <w:color w:val="auto"/>
          <w:kern w:val="2"/>
          <w:sz w:val="32"/>
          <w:szCs w:val="32"/>
          <w:highlight w:val="none"/>
          <w:lang w:val="en-US" w:eastAsia="zh-CN" w:bidi="ar"/>
        </w:rPr>
        <w:t>五</w:t>
      </w:r>
      <w:r>
        <w:rPr>
          <w:rFonts w:hint="eastAsia" w:ascii="仿宋_GB2312" w:hAnsi="仿宋_GB2312" w:eastAsia="仿宋_GB2312" w:cs="仿宋_GB2312"/>
          <w:color w:val="auto"/>
          <w:kern w:val="2"/>
          <w:sz w:val="32"/>
          <w:szCs w:val="32"/>
          <w:highlight w:val="none"/>
          <w:lang w:val="en-US" w:eastAsia="zh-CN" w:bidi="ar"/>
        </w:rPr>
        <w:t>个五年规划的建议》精神保持高度一致。</w:t>
      </w:r>
      <w:r>
        <w:rPr>
          <w:rFonts w:hint="eastAsia" w:ascii="仿宋_GB2312" w:hAnsi="仿宋_GB2312" w:cs="仿宋_GB2312"/>
          <w:color w:val="auto"/>
          <w:kern w:val="2"/>
          <w:sz w:val="32"/>
          <w:szCs w:val="32"/>
          <w:highlight w:val="none"/>
          <w:lang w:val="en-US" w:eastAsia="zh-CN" w:bidi="ar"/>
        </w:rPr>
        <w:t>《纲要》</w:t>
      </w:r>
      <w:r>
        <w:rPr>
          <w:rFonts w:hint="eastAsia" w:ascii="仿宋_GB2312" w:hAnsi="仿宋_GB2312" w:eastAsia="仿宋_GB2312" w:cs="仿宋_GB2312"/>
          <w:color w:val="auto"/>
          <w:kern w:val="2"/>
          <w:sz w:val="32"/>
          <w:szCs w:val="32"/>
          <w:highlight w:val="none"/>
          <w:lang w:val="en-US" w:eastAsia="zh-CN" w:bidi="ar"/>
        </w:rPr>
        <w:t>提出的“十</w:t>
      </w:r>
      <w:r>
        <w:rPr>
          <w:rFonts w:hint="eastAsia" w:ascii="仿宋_GB2312" w:hAnsi="仿宋_GB2312" w:cs="仿宋_GB2312"/>
          <w:color w:val="auto"/>
          <w:kern w:val="2"/>
          <w:sz w:val="32"/>
          <w:szCs w:val="32"/>
          <w:highlight w:val="none"/>
          <w:lang w:val="en-US" w:eastAsia="zh-CN" w:bidi="ar"/>
        </w:rPr>
        <w:t>五</w:t>
      </w:r>
      <w:r>
        <w:rPr>
          <w:rFonts w:hint="eastAsia" w:ascii="仿宋_GB2312" w:hAnsi="仿宋_GB2312" w:eastAsia="仿宋_GB2312" w:cs="仿宋_GB2312"/>
          <w:color w:val="auto"/>
          <w:kern w:val="2"/>
          <w:sz w:val="32"/>
          <w:szCs w:val="32"/>
          <w:highlight w:val="none"/>
          <w:lang w:val="en-US" w:eastAsia="zh-CN" w:bidi="ar"/>
        </w:rPr>
        <w:t>五”时期经济社会发展的指导思想、奋斗目标和主要任务</w:t>
      </w:r>
      <w:r>
        <w:rPr>
          <w:rFonts w:hint="eastAsia" w:ascii="仿宋_GB2312" w:hAnsi="仿宋_GB2312" w:cs="仿宋_GB2312"/>
          <w:color w:val="auto"/>
          <w:kern w:val="2"/>
          <w:sz w:val="32"/>
          <w:szCs w:val="32"/>
          <w:highlight w:val="none"/>
          <w:lang w:val="en-US" w:eastAsia="zh-CN" w:bidi="ar"/>
        </w:rPr>
        <w:t>，准确把握我县发展的历史方位和阶段性特征，完整、准确、全面</w:t>
      </w:r>
      <w:r>
        <w:rPr>
          <w:rFonts w:hint="eastAsia" w:ascii="仿宋_GB2312" w:hAnsi="仿宋_GB2312" w:eastAsia="仿宋_GB2312" w:cs="仿宋_GB2312"/>
          <w:color w:val="auto"/>
          <w:kern w:val="2"/>
          <w:sz w:val="32"/>
          <w:szCs w:val="32"/>
          <w:highlight w:val="none"/>
          <w:lang w:val="en-US" w:eastAsia="zh-CN" w:bidi="ar"/>
        </w:rPr>
        <w:t>贯彻新发展理念，积极服务和融入新发展格局，充分体现了党中央、自治区党委、市委和县委的要求，深度契合宾阳县情实际，顺应了全县各族人民对美好生活的新期待</w:t>
      </w:r>
      <w:r>
        <w:rPr>
          <w:rFonts w:hint="eastAsia" w:ascii="仿宋_GB2312" w:hAnsi="仿宋_GB2312" w:cs="仿宋_GB2312"/>
          <w:color w:val="auto"/>
          <w:kern w:val="2"/>
          <w:sz w:val="32"/>
          <w:szCs w:val="32"/>
          <w:highlight w:val="none"/>
          <w:lang w:val="en-US" w:eastAsia="zh-CN" w:bidi="ar"/>
        </w:rPr>
        <w:t>。整个《纲要》科学</w:t>
      </w:r>
      <w:r>
        <w:rPr>
          <w:rFonts w:hint="eastAsia" w:ascii="仿宋_GB2312" w:hAnsi="仿宋_GB2312" w:eastAsia="仿宋_GB2312" w:cs="仿宋_GB2312"/>
          <w:color w:val="auto"/>
          <w:kern w:val="2"/>
          <w:sz w:val="32"/>
          <w:szCs w:val="32"/>
          <w:highlight w:val="none"/>
          <w:lang w:val="en-US" w:eastAsia="zh-CN" w:bidi="ar"/>
        </w:rPr>
        <w:t>描绘了未来五年发展的宏伟蓝图，政治站位高、目标思路清、任务举措实，具有很强的战略性、前瞻性</w:t>
      </w:r>
      <w:r>
        <w:rPr>
          <w:rFonts w:hint="eastAsia" w:ascii="仿宋_GB2312" w:hAnsi="仿宋_GB2312" w:cs="仿宋_GB2312"/>
          <w:color w:val="auto"/>
          <w:kern w:val="2"/>
          <w:sz w:val="32"/>
          <w:szCs w:val="32"/>
          <w:highlight w:val="none"/>
          <w:lang w:val="en-US" w:eastAsia="zh-CN" w:bidi="ar"/>
        </w:rPr>
        <w:t>、</w:t>
      </w:r>
      <w:r>
        <w:rPr>
          <w:rFonts w:hint="eastAsia" w:ascii="仿宋_GB2312" w:hAnsi="仿宋_GB2312" w:eastAsia="仿宋_GB2312" w:cs="仿宋_GB2312"/>
          <w:color w:val="auto"/>
          <w:kern w:val="2"/>
          <w:sz w:val="32"/>
          <w:szCs w:val="32"/>
          <w:highlight w:val="none"/>
          <w:lang w:val="en-US" w:eastAsia="zh-CN" w:bidi="ar"/>
        </w:rPr>
        <w:t>可操作性，经过全县上下共同努力是能够实现的。</w:t>
      </w:r>
    </w:p>
    <w:p w14:paraId="4C737B16">
      <w:pPr>
        <w:keepNext w:val="0"/>
        <w:keepLines w:val="0"/>
        <w:widowControl w:val="0"/>
        <w:suppressLineNumbers w:val="0"/>
        <w:spacing w:before="0" w:beforeAutospacing="0" w:after="0" w:afterAutospacing="0" w:line="560" w:lineRule="exact"/>
        <w:ind w:left="0" w:right="0" w:firstLine="616" w:firstLineChars="200"/>
        <w:jc w:val="both"/>
        <w:rPr>
          <w:rFonts w:hint="eastAsia" w:ascii="仿宋_GB2312" w:hAnsi="仿宋_GB2312" w:eastAsia="仿宋_GB2312" w:cs="仿宋_GB2312"/>
          <w:color w:val="auto"/>
          <w:spacing w:val="-6"/>
          <w:sz w:val="32"/>
          <w:szCs w:val="32"/>
          <w:highlight w:val="none"/>
          <w:lang w:val="en-US"/>
        </w:rPr>
      </w:pPr>
      <w:r>
        <w:rPr>
          <w:rFonts w:hint="eastAsia" w:ascii="仿宋_GB2312" w:hAnsi="仿宋_GB2312" w:eastAsia="仿宋_GB2312" w:cs="仿宋_GB2312"/>
          <w:color w:val="auto"/>
          <w:spacing w:val="-6"/>
          <w:kern w:val="2"/>
          <w:sz w:val="32"/>
          <w:szCs w:val="32"/>
          <w:highlight w:val="none"/>
          <w:lang w:val="en-US" w:eastAsia="zh-CN" w:bidi="ar"/>
        </w:rPr>
        <w:t>会议号召，全县各族人民要</w:t>
      </w:r>
      <w:r>
        <w:rPr>
          <w:rFonts w:hint="eastAsia" w:ascii="仿宋_GB2312" w:hAnsi="仿宋_GB2312" w:cs="仿宋_GB2312"/>
          <w:color w:val="auto"/>
          <w:spacing w:val="-6"/>
          <w:kern w:val="2"/>
          <w:sz w:val="32"/>
          <w:szCs w:val="32"/>
          <w:highlight w:val="none"/>
          <w:lang w:val="en-US" w:eastAsia="zh-CN" w:bidi="ar"/>
        </w:rPr>
        <w:t>更加</w:t>
      </w:r>
      <w:r>
        <w:rPr>
          <w:rFonts w:hint="eastAsia" w:ascii="仿宋_GB2312" w:hAnsi="仿宋_GB2312" w:eastAsia="仿宋_GB2312" w:cs="仿宋_GB2312"/>
          <w:color w:val="auto"/>
          <w:spacing w:val="-6"/>
          <w:kern w:val="2"/>
          <w:sz w:val="32"/>
          <w:szCs w:val="32"/>
          <w:highlight w:val="none"/>
          <w:lang w:val="en-US" w:eastAsia="zh-CN" w:bidi="ar"/>
        </w:rPr>
        <w:t>紧密</w:t>
      </w:r>
      <w:r>
        <w:rPr>
          <w:rFonts w:hint="eastAsia" w:ascii="仿宋_GB2312" w:hAnsi="仿宋_GB2312" w:cs="仿宋_GB2312"/>
          <w:color w:val="auto"/>
          <w:spacing w:val="-6"/>
          <w:kern w:val="2"/>
          <w:sz w:val="32"/>
          <w:szCs w:val="32"/>
          <w:highlight w:val="none"/>
          <w:lang w:val="en-US" w:eastAsia="zh-CN" w:bidi="ar"/>
        </w:rPr>
        <w:t>地</w:t>
      </w:r>
      <w:r>
        <w:rPr>
          <w:rFonts w:hint="eastAsia" w:ascii="仿宋_GB2312" w:hAnsi="仿宋_GB2312" w:eastAsia="仿宋_GB2312" w:cs="仿宋_GB2312"/>
          <w:color w:val="auto"/>
          <w:spacing w:val="-6"/>
          <w:kern w:val="2"/>
          <w:sz w:val="32"/>
          <w:szCs w:val="32"/>
          <w:highlight w:val="none"/>
          <w:lang w:val="en-US" w:eastAsia="zh-CN" w:bidi="ar"/>
        </w:rPr>
        <w:t>团结在以习近平同志为核心的党中央周围，在县委的坚强领导下，进一步解放思想、创新求变，向海图强、开放发展，为圆满完成“十五五”规划确定的各项目标任务，奋力谱写中国式现代化宾阳篇章，为全面建设社会主义现代化国家、全面推进中华民族伟大复兴而不懈奋斗。</w:t>
      </w:r>
    </w:p>
    <w:p w14:paraId="0621E18E">
      <w:pPr>
        <w:rPr>
          <w:rFonts w:hint="default"/>
          <w:color w:val="auto"/>
          <w:highlight w:val="none"/>
          <w:lang w:val="en-US" w:eastAsia="zh-CN"/>
        </w:rPr>
        <w:sectPr>
          <w:pgSz w:w="11906" w:h="16838"/>
          <w:pgMar w:top="2098" w:right="1474" w:bottom="1984" w:left="1587" w:header="851" w:footer="992" w:gutter="0"/>
          <w:pgNumType w:fmt="numberInDash"/>
          <w:cols w:space="425" w:num="1"/>
          <w:docGrid w:type="lines" w:linePitch="312" w:charSpace="0"/>
        </w:sectPr>
      </w:pPr>
    </w:p>
    <w:p w14:paraId="749E9983">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rPr>
          <w:rFonts w:hint="eastAsia" w:ascii="黑体" w:hAnsi="黑体" w:eastAsia="黑体" w:cs="黑体"/>
          <w:b/>
          <w:bCs/>
          <w:color w:val="auto"/>
          <w:sz w:val="44"/>
          <w:szCs w:val="44"/>
          <w:highlight w:val="none"/>
        </w:rPr>
      </w:pPr>
      <w:r>
        <w:rPr>
          <w:rFonts w:hint="default" w:ascii="黑体" w:hAnsi="黑体" w:eastAsia="黑体" w:cs="黑体"/>
          <w:b/>
          <w:bCs/>
          <w:color w:val="auto"/>
          <w:sz w:val="44"/>
          <w:szCs w:val="44"/>
          <w:highlight w:val="none"/>
        </w:rPr>
        <w:t>目</w:t>
      </w:r>
      <w:r>
        <w:rPr>
          <w:rFonts w:hint="eastAsia" w:ascii="黑体" w:hAnsi="黑体" w:eastAsia="黑体" w:cs="黑体"/>
          <w:b/>
          <w:bCs/>
          <w:color w:val="auto"/>
          <w:sz w:val="44"/>
          <w:szCs w:val="44"/>
          <w:highlight w:val="none"/>
          <w:lang w:val="en-US" w:eastAsia="zh-CN"/>
        </w:rPr>
        <w:t xml:space="preserve">  </w:t>
      </w:r>
      <w:r>
        <w:rPr>
          <w:rFonts w:hint="default" w:ascii="黑体" w:hAnsi="黑体" w:eastAsia="黑体" w:cs="黑体"/>
          <w:b/>
          <w:bCs/>
          <w:color w:val="auto"/>
          <w:sz w:val="44"/>
          <w:szCs w:val="44"/>
          <w:highlight w:val="none"/>
        </w:rPr>
        <w:t>录</w:t>
      </w:r>
    </w:p>
    <w:p w14:paraId="7D0A264F">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 w:val="28"/>
          <w:szCs w:val="28"/>
          <w:highlight w:val="none"/>
        </w:rPr>
        <w:fldChar w:fldCharType="begin"/>
      </w:r>
      <w:r>
        <w:rPr>
          <w:rFonts w:hint="eastAsia" w:ascii="仿宋_GB2312" w:hAnsi="仿宋_GB2312" w:eastAsia="仿宋_GB2312" w:cs="仿宋_GB2312"/>
          <w:b w:val="0"/>
          <w:bCs w:val="0"/>
          <w:color w:val="auto"/>
          <w:sz w:val="28"/>
          <w:szCs w:val="28"/>
          <w:highlight w:val="none"/>
        </w:rPr>
        <w:instrText xml:space="preserve">TOC \o "1-2" \h \u </w:instrText>
      </w:r>
      <w:r>
        <w:rPr>
          <w:rFonts w:hint="eastAsia" w:ascii="仿宋_GB2312" w:hAnsi="仿宋_GB2312" w:eastAsia="仿宋_GB2312" w:cs="仿宋_GB2312"/>
          <w:b w:val="0"/>
          <w:bCs w:val="0"/>
          <w:color w:val="auto"/>
          <w:sz w:val="28"/>
          <w:szCs w:val="28"/>
          <w:highlight w:val="none"/>
        </w:rPr>
        <w:fldChar w:fldCharType="separate"/>
      </w: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_Toc10585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第一章 “十四五”发展成就回顾</w:t>
      </w:r>
      <w:r>
        <w:rPr>
          <w:b w:val="0"/>
          <w:bCs w:val="0"/>
        </w:rPr>
        <w:tab/>
      </w:r>
      <w:r>
        <w:rPr>
          <w:b w:val="0"/>
          <w:bCs w:val="0"/>
        </w:rPr>
        <w:fldChar w:fldCharType="begin"/>
      </w:r>
      <w:r>
        <w:rPr>
          <w:b w:val="0"/>
          <w:bCs w:val="0"/>
        </w:rPr>
        <w:instrText xml:space="preserve"> PAGEREF _Toc10585 \h </w:instrText>
      </w:r>
      <w:r>
        <w:rPr>
          <w:b w:val="0"/>
          <w:bCs w:val="0"/>
        </w:rPr>
        <w:fldChar w:fldCharType="separate"/>
      </w:r>
      <w:r>
        <w:rPr>
          <w:b w:val="0"/>
          <w:bCs w:val="0"/>
        </w:rPr>
        <w:t>- 1 -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7260271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_Toc12924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第一节 发展基础</w:t>
      </w:r>
      <w:r>
        <w:rPr>
          <w:b w:val="0"/>
          <w:bCs w:val="0"/>
        </w:rPr>
        <w:tab/>
      </w:r>
      <w:r>
        <w:rPr>
          <w:b w:val="0"/>
          <w:bCs w:val="0"/>
        </w:rPr>
        <w:fldChar w:fldCharType="begin"/>
      </w:r>
      <w:r>
        <w:rPr>
          <w:b w:val="0"/>
          <w:bCs w:val="0"/>
        </w:rPr>
        <w:instrText xml:space="preserve"> PAGEREF _Toc12924 \h </w:instrText>
      </w:r>
      <w:r>
        <w:rPr>
          <w:b w:val="0"/>
          <w:bCs w:val="0"/>
        </w:rPr>
        <w:fldChar w:fldCharType="separate"/>
      </w:r>
      <w:r>
        <w:rPr>
          <w:b w:val="0"/>
          <w:bCs w:val="0"/>
        </w:rPr>
        <w:t>- 1 -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6C6EDE6">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_Toc25089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2"/>
          <w:szCs w:val="32"/>
          <w:highlight w:val="none"/>
          <w:lang w:val="en-US" w:eastAsia="zh-CN" w:bidi="ar-SA"/>
        </w:rPr>
        <w:t>第二节 发展机遇与挑战</w:t>
      </w:r>
      <w:r>
        <w:rPr>
          <w:b w:val="0"/>
          <w:bCs w:val="0"/>
        </w:rPr>
        <w:tab/>
      </w:r>
      <w:r>
        <w:rPr>
          <w:b w:val="0"/>
          <w:bCs w:val="0"/>
        </w:rPr>
        <w:fldChar w:fldCharType="begin"/>
      </w:r>
      <w:r>
        <w:rPr>
          <w:b w:val="0"/>
          <w:bCs w:val="0"/>
        </w:rPr>
        <w:instrText xml:space="preserve"> PAGEREF _Toc25089 \h </w:instrText>
      </w:r>
      <w:r>
        <w:rPr>
          <w:b w:val="0"/>
          <w:bCs w:val="0"/>
        </w:rPr>
        <w:fldChar w:fldCharType="separate"/>
      </w:r>
      <w:r>
        <w:rPr>
          <w:b w:val="0"/>
          <w:bCs w:val="0"/>
        </w:rPr>
        <w:t>- 7 -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B76E8D1">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_Toc17623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第二章 总体要求</w:t>
      </w:r>
      <w:r>
        <w:rPr>
          <w:b w:val="0"/>
          <w:bCs w:val="0"/>
        </w:rPr>
        <w:tab/>
      </w:r>
      <w:r>
        <w:rPr>
          <w:b w:val="0"/>
          <w:bCs w:val="0"/>
        </w:rPr>
        <w:fldChar w:fldCharType="begin"/>
      </w:r>
      <w:r>
        <w:rPr>
          <w:b w:val="0"/>
          <w:bCs w:val="0"/>
        </w:rPr>
        <w:instrText xml:space="preserve"> PAGEREF _Toc17623 \h </w:instrText>
      </w:r>
      <w:r>
        <w:rPr>
          <w:b w:val="0"/>
          <w:bCs w:val="0"/>
        </w:rPr>
        <w:fldChar w:fldCharType="separate"/>
      </w:r>
      <w:r>
        <w:rPr>
          <w:b w:val="0"/>
          <w:bCs w:val="0"/>
        </w:rPr>
        <w:t>- 12 -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0B1C7A3">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_Toc4505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第一节 指导思想</w:t>
      </w:r>
      <w:r>
        <w:rPr>
          <w:b w:val="0"/>
          <w:bCs w:val="0"/>
        </w:rPr>
        <w:tab/>
      </w:r>
      <w:r>
        <w:rPr>
          <w:b w:val="0"/>
          <w:bCs w:val="0"/>
        </w:rPr>
        <w:fldChar w:fldCharType="begin"/>
      </w:r>
      <w:r>
        <w:rPr>
          <w:b w:val="0"/>
          <w:bCs w:val="0"/>
        </w:rPr>
        <w:instrText xml:space="preserve"> PAGEREF _Toc4505 \h </w:instrText>
      </w:r>
      <w:r>
        <w:rPr>
          <w:b w:val="0"/>
          <w:bCs w:val="0"/>
        </w:rPr>
        <w:fldChar w:fldCharType="separate"/>
      </w:r>
      <w:r>
        <w:rPr>
          <w:b w:val="0"/>
          <w:bCs w:val="0"/>
        </w:rPr>
        <w:t>- 12 -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9CE321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_Toc12083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第二节 基本原则</w:t>
      </w:r>
      <w:r>
        <w:rPr>
          <w:b w:val="0"/>
          <w:bCs w:val="0"/>
        </w:rPr>
        <w:tab/>
      </w:r>
      <w:r>
        <w:rPr>
          <w:b w:val="0"/>
          <w:bCs w:val="0"/>
        </w:rPr>
        <w:fldChar w:fldCharType="begin"/>
      </w:r>
      <w:r>
        <w:rPr>
          <w:b w:val="0"/>
          <w:bCs w:val="0"/>
        </w:rPr>
        <w:instrText xml:space="preserve"> PAGEREF _Toc12083 \h </w:instrText>
      </w:r>
      <w:r>
        <w:rPr>
          <w:b w:val="0"/>
          <w:bCs w:val="0"/>
        </w:rPr>
        <w:fldChar w:fldCharType="separate"/>
      </w:r>
      <w:r>
        <w:rPr>
          <w:b w:val="0"/>
          <w:bCs w:val="0"/>
        </w:rPr>
        <w:t>- 13 -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62F34F9">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_Toc24500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第三节 发展目标</w:t>
      </w:r>
      <w:r>
        <w:rPr>
          <w:b w:val="0"/>
          <w:bCs w:val="0"/>
        </w:rPr>
        <w:tab/>
      </w:r>
      <w:r>
        <w:rPr>
          <w:b w:val="0"/>
          <w:bCs w:val="0"/>
        </w:rPr>
        <w:fldChar w:fldCharType="begin"/>
      </w:r>
      <w:r>
        <w:rPr>
          <w:b w:val="0"/>
          <w:bCs w:val="0"/>
        </w:rPr>
        <w:instrText xml:space="preserve"> PAGEREF _Toc24500 \h </w:instrText>
      </w:r>
      <w:r>
        <w:rPr>
          <w:b w:val="0"/>
          <w:bCs w:val="0"/>
        </w:rPr>
        <w:fldChar w:fldCharType="separate"/>
      </w:r>
      <w:r>
        <w:rPr>
          <w:b w:val="0"/>
          <w:bCs w:val="0"/>
        </w:rPr>
        <w:t>- 14 -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20624D8A">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_Toc13175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第四节 发展定位</w:t>
      </w:r>
      <w:r>
        <w:rPr>
          <w:b w:val="0"/>
          <w:bCs w:val="0"/>
        </w:rPr>
        <w:tab/>
      </w:r>
      <w:r>
        <w:rPr>
          <w:b w:val="0"/>
          <w:bCs w:val="0"/>
        </w:rPr>
        <w:fldChar w:fldCharType="begin"/>
      </w:r>
      <w:r>
        <w:rPr>
          <w:b w:val="0"/>
          <w:bCs w:val="0"/>
        </w:rPr>
        <w:instrText xml:space="preserve"> PAGEREF _Toc13175 \h </w:instrText>
      </w:r>
      <w:r>
        <w:rPr>
          <w:b w:val="0"/>
          <w:bCs w:val="0"/>
        </w:rPr>
        <w:fldChar w:fldCharType="separate"/>
      </w:r>
      <w:r>
        <w:rPr>
          <w:b w:val="0"/>
          <w:bCs w:val="0"/>
        </w:rPr>
        <w:t>- 18 -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CA840A2">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_Toc17616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 xml:space="preserve">第三章 </w:t>
      </w:r>
      <w:r>
        <w:rPr>
          <w:rFonts w:hint="eastAsia" w:eastAsia="黑体" w:asciiTheme="minorAscii" w:hAnsiTheme="minorAscii"/>
          <w:b w:val="0"/>
          <w:bCs w:val="0"/>
          <w:szCs w:val="32"/>
          <w:highlight w:val="none"/>
          <w:lang w:val="en-US" w:eastAsia="zh-CN"/>
        </w:rPr>
        <w:t>建设现代化产业体系，巩固壮大实体经济根基</w:t>
      </w:r>
      <w:r>
        <w:rPr>
          <w:b w:val="0"/>
          <w:bCs w:val="0"/>
        </w:rPr>
        <w:tab/>
      </w:r>
      <w:r>
        <w:rPr>
          <w:b w:val="0"/>
          <w:bCs w:val="0"/>
        </w:rPr>
        <w:fldChar w:fldCharType="begin"/>
      </w:r>
      <w:r>
        <w:rPr>
          <w:b w:val="0"/>
          <w:bCs w:val="0"/>
        </w:rPr>
        <w:instrText xml:space="preserve"> PAGEREF _Toc17616 \h </w:instrText>
      </w:r>
      <w:r>
        <w:rPr>
          <w:b w:val="0"/>
          <w:bCs w:val="0"/>
        </w:rPr>
        <w:fldChar w:fldCharType="separate"/>
      </w:r>
      <w:r>
        <w:rPr>
          <w:b w:val="0"/>
          <w:bCs w:val="0"/>
        </w:rPr>
        <w:t>- 21 -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15039CD">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_Toc30090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第一节 推动传统产业转型升级</w:t>
      </w:r>
      <w:r>
        <w:rPr>
          <w:b w:val="0"/>
          <w:bCs w:val="0"/>
        </w:rPr>
        <w:tab/>
      </w:r>
      <w:r>
        <w:rPr>
          <w:b w:val="0"/>
          <w:bCs w:val="0"/>
        </w:rPr>
        <w:fldChar w:fldCharType="begin"/>
      </w:r>
      <w:r>
        <w:rPr>
          <w:b w:val="0"/>
          <w:bCs w:val="0"/>
        </w:rPr>
        <w:instrText xml:space="preserve"> PAGEREF _Toc30090 \h </w:instrText>
      </w:r>
      <w:r>
        <w:rPr>
          <w:b w:val="0"/>
          <w:bCs w:val="0"/>
        </w:rPr>
        <w:fldChar w:fldCharType="separate"/>
      </w:r>
      <w:r>
        <w:rPr>
          <w:b w:val="0"/>
          <w:bCs w:val="0"/>
        </w:rPr>
        <w:t>- 21 -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9218CFB">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_Toc21750 </w:instrText>
      </w:r>
      <w:r>
        <w:rPr>
          <w:rFonts w:hint="eastAsia" w:ascii="仿宋_GB2312" w:hAnsi="仿宋_GB2312" w:eastAsia="仿宋_GB2312" w:cs="仿宋_GB2312"/>
          <w:b w:val="0"/>
          <w:bCs w:val="0"/>
          <w:szCs w:val="28"/>
          <w:highlight w:val="none"/>
        </w:rPr>
        <w:fldChar w:fldCharType="separate"/>
      </w:r>
      <w:r>
        <w:rPr>
          <w:rFonts w:hint="eastAsia" w:ascii="Times New Roman" w:hAnsi="Times New Roman" w:cs="Times New Roman"/>
          <w:b w:val="0"/>
          <w:bCs w:val="0"/>
          <w:szCs w:val="32"/>
          <w:highlight w:val="none"/>
          <w:lang w:val="en-US" w:eastAsia="zh-CN"/>
        </w:rPr>
        <w:t>第二节 聚力培育新兴产业与未来产业</w:t>
      </w:r>
      <w:r>
        <w:rPr>
          <w:b w:val="0"/>
          <w:bCs w:val="0"/>
        </w:rPr>
        <w:tab/>
      </w:r>
      <w:r>
        <w:rPr>
          <w:b w:val="0"/>
          <w:bCs w:val="0"/>
        </w:rPr>
        <w:fldChar w:fldCharType="begin"/>
      </w:r>
      <w:r>
        <w:rPr>
          <w:b w:val="0"/>
          <w:bCs w:val="0"/>
        </w:rPr>
        <w:instrText xml:space="preserve"> PAGEREF _Toc21750 \h </w:instrText>
      </w:r>
      <w:r>
        <w:rPr>
          <w:b w:val="0"/>
          <w:bCs w:val="0"/>
        </w:rPr>
        <w:fldChar w:fldCharType="separate"/>
      </w:r>
      <w:r>
        <w:rPr>
          <w:b w:val="0"/>
          <w:bCs w:val="0"/>
        </w:rPr>
        <w:t>- 24 -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7805E9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_Toc16916 </w:instrText>
      </w:r>
      <w:r>
        <w:rPr>
          <w:rFonts w:hint="eastAsia" w:ascii="仿宋_GB2312" w:hAnsi="仿宋_GB2312" w:eastAsia="仿宋_GB2312" w:cs="仿宋_GB2312"/>
          <w:b w:val="0"/>
          <w:bCs w:val="0"/>
          <w:szCs w:val="28"/>
          <w:highlight w:val="none"/>
        </w:rPr>
        <w:fldChar w:fldCharType="separate"/>
      </w:r>
      <w:r>
        <w:rPr>
          <w:rFonts w:hint="default"/>
          <w:b w:val="0"/>
          <w:bCs w:val="0"/>
          <w:highlight w:val="none"/>
          <w:lang w:val="en-US" w:eastAsia="zh-CN"/>
        </w:rPr>
        <w:t>第三节</w:t>
      </w:r>
      <w:r>
        <w:rPr>
          <w:rFonts w:hint="eastAsia"/>
          <w:b w:val="0"/>
          <w:bCs w:val="0"/>
          <w:highlight w:val="none"/>
          <w:lang w:val="en-US" w:eastAsia="zh-CN"/>
        </w:rPr>
        <w:t xml:space="preserve"> 促进现代服务业提质增效发展</w:t>
      </w:r>
      <w:r>
        <w:rPr>
          <w:b w:val="0"/>
          <w:bCs w:val="0"/>
        </w:rPr>
        <w:tab/>
      </w:r>
      <w:r>
        <w:rPr>
          <w:b w:val="0"/>
          <w:bCs w:val="0"/>
        </w:rPr>
        <w:fldChar w:fldCharType="begin"/>
      </w:r>
      <w:r>
        <w:rPr>
          <w:b w:val="0"/>
          <w:bCs w:val="0"/>
        </w:rPr>
        <w:instrText xml:space="preserve"> PAGEREF _Toc16916 \h </w:instrText>
      </w:r>
      <w:r>
        <w:rPr>
          <w:b w:val="0"/>
          <w:bCs w:val="0"/>
        </w:rPr>
        <w:fldChar w:fldCharType="separate"/>
      </w:r>
      <w:r>
        <w:rPr>
          <w:b w:val="0"/>
          <w:bCs w:val="0"/>
        </w:rPr>
        <w:t>- 27 -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D63F8E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_Toc30728 </w:instrText>
      </w:r>
      <w:r>
        <w:rPr>
          <w:rFonts w:hint="eastAsia" w:ascii="仿宋_GB2312" w:hAnsi="仿宋_GB2312" w:eastAsia="仿宋_GB2312" w:cs="仿宋_GB2312"/>
          <w:b w:val="0"/>
          <w:bCs w:val="0"/>
          <w:szCs w:val="28"/>
          <w:highlight w:val="none"/>
        </w:rPr>
        <w:fldChar w:fldCharType="separate"/>
      </w:r>
      <w:r>
        <w:rPr>
          <w:rFonts w:hint="default" w:ascii="Times New Roman" w:hAnsi="Times New Roman" w:eastAsia="楷体_GB2312" w:cstheme="minorBidi"/>
          <w:b w:val="0"/>
          <w:bCs w:val="0"/>
          <w:kern w:val="2"/>
          <w:szCs w:val="24"/>
          <w:highlight w:val="none"/>
          <w:lang w:val="en-US" w:eastAsia="zh-CN" w:bidi="ar-SA"/>
        </w:rPr>
        <w:t xml:space="preserve">第四节 </w:t>
      </w:r>
      <w:r>
        <w:rPr>
          <w:rFonts w:hint="default" w:ascii="Times New Roman" w:hAnsi="Times New Roman" w:eastAsia="楷体_GB2312" w:cstheme="minorBidi"/>
          <w:b w:val="0"/>
          <w:bCs w:val="0"/>
          <w:szCs w:val="24"/>
          <w:highlight w:val="none"/>
          <w:lang w:val="en-US" w:eastAsia="zh-CN"/>
        </w:rPr>
        <w:t>加快现代特色农业发展</w:t>
      </w:r>
      <w:r>
        <w:rPr>
          <w:b w:val="0"/>
          <w:bCs w:val="0"/>
        </w:rPr>
        <w:tab/>
      </w:r>
      <w:r>
        <w:rPr>
          <w:b w:val="0"/>
          <w:bCs w:val="0"/>
        </w:rPr>
        <w:fldChar w:fldCharType="begin"/>
      </w:r>
      <w:r>
        <w:rPr>
          <w:b w:val="0"/>
          <w:bCs w:val="0"/>
        </w:rPr>
        <w:instrText xml:space="preserve"> PAGEREF _Toc30728 \h </w:instrText>
      </w:r>
      <w:r>
        <w:rPr>
          <w:b w:val="0"/>
          <w:bCs w:val="0"/>
        </w:rPr>
        <w:fldChar w:fldCharType="separate"/>
      </w:r>
      <w:r>
        <w:rPr>
          <w:b w:val="0"/>
          <w:bCs w:val="0"/>
        </w:rPr>
        <w:t>- 29 -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A4FD85E">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_Toc16375 </w:instrText>
      </w:r>
      <w:r>
        <w:rPr>
          <w:rFonts w:hint="eastAsia" w:ascii="仿宋_GB2312" w:hAnsi="仿宋_GB2312" w:eastAsia="仿宋_GB2312" w:cs="仿宋_GB2312"/>
          <w:b w:val="0"/>
          <w:bCs w:val="0"/>
          <w:szCs w:val="28"/>
          <w:highlight w:val="none"/>
        </w:rPr>
        <w:fldChar w:fldCharType="separate"/>
      </w:r>
      <w:r>
        <w:rPr>
          <w:rFonts w:hint="default" w:ascii="Times New Roman" w:hAnsi="Times New Roman" w:eastAsia="楷体_GB2312" w:cstheme="minorBidi"/>
          <w:b w:val="0"/>
          <w:bCs w:val="0"/>
          <w:kern w:val="2"/>
          <w:szCs w:val="24"/>
          <w:highlight w:val="none"/>
          <w:lang w:val="en-US" w:eastAsia="zh-CN" w:bidi="ar-SA"/>
        </w:rPr>
        <w:t>第五节</w:t>
      </w:r>
      <w:r>
        <w:rPr>
          <w:rFonts w:hint="eastAsia" w:ascii="Times New Roman" w:hAnsi="Times New Roman" w:cstheme="minorBidi"/>
          <w:b w:val="0"/>
          <w:bCs w:val="0"/>
          <w:kern w:val="2"/>
          <w:szCs w:val="24"/>
          <w:highlight w:val="none"/>
          <w:lang w:val="en-US" w:eastAsia="zh-CN" w:bidi="ar-SA"/>
        </w:rPr>
        <w:t xml:space="preserve"> </w:t>
      </w:r>
      <w:r>
        <w:rPr>
          <w:rFonts w:hint="default" w:ascii="Times New Roman" w:hAnsi="Times New Roman" w:eastAsia="楷体_GB2312" w:cstheme="minorBidi"/>
          <w:b w:val="0"/>
          <w:bCs w:val="0"/>
          <w:szCs w:val="24"/>
          <w:highlight w:val="none"/>
          <w:lang w:val="en-US" w:eastAsia="zh-CN"/>
        </w:rPr>
        <w:t>构建现代化基础设施体系</w:t>
      </w:r>
      <w:r>
        <w:rPr>
          <w:b w:val="0"/>
          <w:bCs w:val="0"/>
        </w:rPr>
        <w:tab/>
      </w:r>
      <w:r>
        <w:rPr>
          <w:b w:val="0"/>
          <w:bCs w:val="0"/>
        </w:rPr>
        <w:fldChar w:fldCharType="begin"/>
      </w:r>
      <w:r>
        <w:rPr>
          <w:b w:val="0"/>
          <w:bCs w:val="0"/>
        </w:rPr>
        <w:instrText xml:space="preserve"> PAGEREF _Toc16375 \h </w:instrText>
      </w:r>
      <w:r>
        <w:rPr>
          <w:b w:val="0"/>
          <w:bCs w:val="0"/>
        </w:rPr>
        <w:fldChar w:fldCharType="separate"/>
      </w:r>
      <w:r>
        <w:rPr>
          <w:b w:val="0"/>
          <w:bCs w:val="0"/>
        </w:rPr>
        <w:t>- 31 -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B8771BF">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_Toc17851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 xml:space="preserve">第四章 </w:t>
      </w:r>
      <w:r>
        <w:rPr>
          <w:rFonts w:hint="default" w:eastAsia="黑体" w:asciiTheme="minorAscii" w:hAnsiTheme="minorAscii"/>
          <w:b w:val="0"/>
          <w:bCs w:val="0"/>
          <w:szCs w:val="32"/>
          <w:highlight w:val="none"/>
          <w:lang w:val="en-US" w:eastAsia="zh-CN"/>
        </w:rPr>
        <w:t>强化科技创新驱动，赋能发展新质生产力</w:t>
      </w:r>
      <w:r>
        <w:rPr>
          <w:b w:val="0"/>
          <w:bCs w:val="0"/>
        </w:rPr>
        <w:tab/>
      </w:r>
      <w:r>
        <w:rPr>
          <w:b w:val="0"/>
          <w:bCs w:val="0"/>
        </w:rPr>
        <w:fldChar w:fldCharType="begin"/>
      </w:r>
      <w:r>
        <w:rPr>
          <w:b w:val="0"/>
          <w:bCs w:val="0"/>
        </w:rPr>
        <w:instrText xml:space="preserve"> PAGEREF _Toc17851 \h </w:instrText>
      </w:r>
      <w:r>
        <w:rPr>
          <w:b w:val="0"/>
          <w:bCs w:val="0"/>
        </w:rPr>
        <w:fldChar w:fldCharType="separate"/>
      </w:r>
      <w:r>
        <w:rPr>
          <w:b w:val="0"/>
          <w:bCs w:val="0"/>
        </w:rPr>
        <w:t>- 35 -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482B1BB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_Toc2792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 xml:space="preserve">第一节 </w:t>
      </w:r>
      <w:r>
        <w:rPr>
          <w:rFonts w:hint="default" w:ascii="仿宋_GB2312" w:hAnsi="仿宋_GB2312" w:eastAsia="仿宋_GB2312" w:cs="仿宋_GB2312"/>
          <w:b w:val="0"/>
          <w:bCs w:val="0"/>
          <w:szCs w:val="32"/>
          <w:highlight w:val="none"/>
          <w:lang w:val="en-US" w:eastAsia="zh-CN"/>
        </w:rPr>
        <w:t>深化科技创新与产业创新融合</w:t>
      </w:r>
      <w:r>
        <w:rPr>
          <w:b w:val="0"/>
          <w:bCs w:val="0"/>
        </w:rPr>
        <w:tab/>
      </w:r>
      <w:r>
        <w:rPr>
          <w:b w:val="0"/>
          <w:bCs w:val="0"/>
        </w:rPr>
        <w:fldChar w:fldCharType="begin"/>
      </w:r>
      <w:r>
        <w:rPr>
          <w:b w:val="0"/>
          <w:bCs w:val="0"/>
        </w:rPr>
        <w:instrText xml:space="preserve"> PAGEREF _Toc2792 \h </w:instrText>
      </w:r>
      <w:r>
        <w:rPr>
          <w:b w:val="0"/>
          <w:bCs w:val="0"/>
        </w:rPr>
        <w:fldChar w:fldCharType="separate"/>
      </w:r>
      <w:r>
        <w:rPr>
          <w:b w:val="0"/>
          <w:bCs w:val="0"/>
        </w:rPr>
        <w:t>- 35 -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AC5C834">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_Toc10851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第二节 大力发展人工智能融合应用</w:t>
      </w:r>
      <w:r>
        <w:rPr>
          <w:b w:val="0"/>
          <w:bCs w:val="0"/>
        </w:rPr>
        <w:tab/>
      </w:r>
      <w:r>
        <w:rPr>
          <w:b w:val="0"/>
          <w:bCs w:val="0"/>
        </w:rPr>
        <w:fldChar w:fldCharType="begin"/>
      </w:r>
      <w:r>
        <w:rPr>
          <w:b w:val="0"/>
          <w:bCs w:val="0"/>
        </w:rPr>
        <w:instrText xml:space="preserve"> PAGEREF _Toc10851 \h </w:instrText>
      </w:r>
      <w:r>
        <w:rPr>
          <w:b w:val="0"/>
          <w:bCs w:val="0"/>
        </w:rPr>
        <w:fldChar w:fldCharType="separate"/>
      </w:r>
      <w:r>
        <w:rPr>
          <w:b w:val="0"/>
          <w:bCs w:val="0"/>
        </w:rPr>
        <w:t>- 36 -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1D33524">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_Toc26523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第三节 一体推进教育科技人才发展</w:t>
      </w:r>
      <w:r>
        <w:rPr>
          <w:b w:val="0"/>
          <w:bCs w:val="0"/>
        </w:rPr>
        <w:tab/>
      </w:r>
      <w:r>
        <w:rPr>
          <w:b w:val="0"/>
          <w:bCs w:val="0"/>
        </w:rPr>
        <w:fldChar w:fldCharType="begin"/>
      </w:r>
      <w:r>
        <w:rPr>
          <w:b w:val="0"/>
          <w:bCs w:val="0"/>
        </w:rPr>
        <w:instrText xml:space="preserve"> PAGEREF _Toc26523 \h </w:instrText>
      </w:r>
      <w:r>
        <w:rPr>
          <w:b w:val="0"/>
          <w:bCs w:val="0"/>
        </w:rPr>
        <w:fldChar w:fldCharType="separate"/>
      </w:r>
      <w:r>
        <w:rPr>
          <w:b w:val="0"/>
          <w:bCs w:val="0"/>
        </w:rPr>
        <w:t>- 39 -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079AAC0">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_Toc25321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第五章 </w:t>
      </w:r>
      <w:r>
        <w:rPr>
          <w:rFonts w:hint="eastAsia" w:eastAsia="黑体" w:asciiTheme="minorAscii" w:hAnsiTheme="minorAscii"/>
          <w:b w:val="0"/>
          <w:bCs w:val="0"/>
          <w:szCs w:val="32"/>
          <w:highlight w:val="none"/>
          <w:lang w:val="en-US" w:eastAsia="zh-CN"/>
        </w:rPr>
        <w:t>深度融入国内大循环，推动扩大有效需求市场</w:t>
      </w:r>
      <w:r>
        <w:rPr>
          <w:b w:val="0"/>
          <w:bCs w:val="0"/>
        </w:rPr>
        <w:tab/>
      </w:r>
      <w:r>
        <w:rPr>
          <w:b w:val="0"/>
          <w:bCs w:val="0"/>
        </w:rPr>
        <w:fldChar w:fldCharType="begin"/>
      </w:r>
      <w:r>
        <w:rPr>
          <w:b w:val="0"/>
          <w:bCs w:val="0"/>
        </w:rPr>
        <w:instrText xml:space="preserve"> PAGEREF _Toc25321 \h </w:instrText>
      </w:r>
      <w:r>
        <w:rPr>
          <w:b w:val="0"/>
          <w:bCs w:val="0"/>
        </w:rPr>
        <w:fldChar w:fldCharType="separate"/>
      </w:r>
      <w:r>
        <w:rPr>
          <w:b w:val="0"/>
          <w:bCs w:val="0"/>
        </w:rPr>
        <w:t>- 41 -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DA7B91B">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_Toc1613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第一节 </w:t>
      </w:r>
      <w:r>
        <w:rPr>
          <w:rFonts w:hint="eastAsia" w:ascii="楷体_GB2312" w:hAnsi="楷体_GB2312" w:eastAsia="楷体_GB2312" w:cs="楷体_GB2312"/>
          <w:b w:val="0"/>
          <w:bCs w:val="0"/>
          <w:szCs w:val="32"/>
          <w:highlight w:val="none"/>
          <w:lang w:val="en-US" w:eastAsia="zh-CN"/>
        </w:rPr>
        <w:t>大力提振消费</w:t>
      </w:r>
      <w:r>
        <w:rPr>
          <w:b w:val="0"/>
          <w:bCs w:val="0"/>
        </w:rPr>
        <w:tab/>
      </w:r>
      <w:r>
        <w:rPr>
          <w:b w:val="0"/>
          <w:bCs w:val="0"/>
        </w:rPr>
        <w:fldChar w:fldCharType="begin"/>
      </w:r>
      <w:r>
        <w:rPr>
          <w:b w:val="0"/>
          <w:bCs w:val="0"/>
        </w:rPr>
        <w:instrText xml:space="preserve"> PAGEREF _Toc1613 \h </w:instrText>
      </w:r>
      <w:r>
        <w:rPr>
          <w:b w:val="0"/>
          <w:bCs w:val="0"/>
        </w:rPr>
        <w:fldChar w:fldCharType="separate"/>
      </w:r>
      <w:r>
        <w:rPr>
          <w:b w:val="0"/>
          <w:bCs w:val="0"/>
        </w:rPr>
        <w:t>- 41 -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ECF14E6">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_Toc4519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第二节 </w:t>
      </w:r>
      <w:r>
        <w:rPr>
          <w:rFonts w:hint="default" w:ascii="楷体_GB2312" w:hAnsi="楷体_GB2312" w:eastAsia="楷体_GB2312" w:cs="楷体_GB2312"/>
          <w:b w:val="0"/>
          <w:bCs w:val="0"/>
          <w:szCs w:val="32"/>
          <w:highlight w:val="none"/>
          <w:lang w:val="en-US" w:eastAsia="zh-CN"/>
        </w:rPr>
        <w:t>强化有效投资</w:t>
      </w:r>
      <w:r>
        <w:rPr>
          <w:b w:val="0"/>
          <w:bCs w:val="0"/>
        </w:rPr>
        <w:tab/>
      </w:r>
      <w:r>
        <w:rPr>
          <w:b w:val="0"/>
          <w:bCs w:val="0"/>
        </w:rPr>
        <w:fldChar w:fldCharType="begin"/>
      </w:r>
      <w:r>
        <w:rPr>
          <w:b w:val="0"/>
          <w:bCs w:val="0"/>
        </w:rPr>
        <w:instrText xml:space="preserve"> PAGEREF _Toc4519 \h </w:instrText>
      </w:r>
      <w:r>
        <w:rPr>
          <w:b w:val="0"/>
          <w:bCs w:val="0"/>
        </w:rPr>
        <w:fldChar w:fldCharType="separate"/>
      </w:r>
      <w:r>
        <w:rPr>
          <w:b w:val="0"/>
          <w:bCs w:val="0"/>
        </w:rPr>
        <w:t>- 43 -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C6B838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_Toc11964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第三节 </w:t>
      </w:r>
      <w:r>
        <w:rPr>
          <w:rFonts w:hint="eastAsia" w:ascii="楷体_GB2312" w:hAnsi="楷体_GB2312" w:eastAsia="楷体_GB2312" w:cs="楷体_GB2312"/>
          <w:b w:val="0"/>
          <w:bCs w:val="0"/>
          <w:szCs w:val="32"/>
          <w:highlight w:val="none"/>
          <w:lang w:val="en-US" w:eastAsia="zh-CN"/>
        </w:rPr>
        <w:t>积极</w:t>
      </w:r>
      <w:r>
        <w:rPr>
          <w:rFonts w:hint="default" w:ascii="楷体_GB2312" w:hAnsi="楷体_GB2312" w:eastAsia="楷体_GB2312" w:cs="楷体_GB2312"/>
          <w:b w:val="0"/>
          <w:bCs w:val="0"/>
          <w:szCs w:val="32"/>
          <w:highlight w:val="none"/>
          <w:lang w:val="en-US" w:eastAsia="zh-CN"/>
        </w:rPr>
        <w:t>融入全国</w:t>
      </w:r>
      <w:r>
        <w:rPr>
          <w:rFonts w:hint="eastAsia" w:ascii="楷体_GB2312" w:hAnsi="楷体_GB2312" w:eastAsia="楷体_GB2312" w:cs="楷体_GB2312"/>
          <w:b w:val="0"/>
          <w:bCs w:val="0"/>
          <w:szCs w:val="32"/>
          <w:highlight w:val="none"/>
          <w:lang w:val="en-US" w:eastAsia="zh-CN"/>
        </w:rPr>
        <w:t>统一大</w:t>
      </w:r>
      <w:r>
        <w:rPr>
          <w:rFonts w:hint="default" w:ascii="楷体_GB2312" w:hAnsi="楷体_GB2312" w:eastAsia="楷体_GB2312" w:cs="楷体_GB2312"/>
          <w:b w:val="0"/>
          <w:bCs w:val="0"/>
          <w:szCs w:val="32"/>
          <w:highlight w:val="none"/>
          <w:lang w:val="en-US" w:eastAsia="zh-CN"/>
        </w:rPr>
        <w:t>市场</w:t>
      </w:r>
      <w:r>
        <w:rPr>
          <w:b w:val="0"/>
          <w:bCs w:val="0"/>
        </w:rPr>
        <w:tab/>
      </w:r>
      <w:r>
        <w:rPr>
          <w:b w:val="0"/>
          <w:bCs w:val="0"/>
        </w:rPr>
        <w:fldChar w:fldCharType="begin"/>
      </w:r>
      <w:r>
        <w:rPr>
          <w:b w:val="0"/>
          <w:bCs w:val="0"/>
        </w:rPr>
        <w:instrText xml:space="preserve"> PAGEREF _Toc11964 \h </w:instrText>
      </w:r>
      <w:r>
        <w:rPr>
          <w:b w:val="0"/>
          <w:bCs w:val="0"/>
        </w:rPr>
        <w:fldChar w:fldCharType="separate"/>
      </w:r>
      <w:r>
        <w:rPr>
          <w:b w:val="0"/>
          <w:bCs w:val="0"/>
        </w:rPr>
        <w:t>- 45 -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1D55A4C">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_Toc31490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第六章 </w:t>
      </w:r>
      <w:r>
        <w:rPr>
          <w:rFonts w:hint="eastAsia" w:eastAsia="黑体" w:asciiTheme="minorAscii" w:hAnsiTheme="minorAscii"/>
          <w:b w:val="0"/>
          <w:bCs w:val="0"/>
          <w:szCs w:val="32"/>
          <w:highlight w:val="none"/>
          <w:lang w:val="en-US" w:eastAsia="zh-CN"/>
        </w:rPr>
        <w:t>加快农业农村现代化，扎实推进乡村全面振兴</w:t>
      </w:r>
      <w:r>
        <w:rPr>
          <w:b w:val="0"/>
          <w:bCs w:val="0"/>
        </w:rPr>
        <w:tab/>
      </w:r>
      <w:r>
        <w:rPr>
          <w:b w:val="0"/>
          <w:bCs w:val="0"/>
        </w:rPr>
        <w:fldChar w:fldCharType="begin"/>
      </w:r>
      <w:r>
        <w:rPr>
          <w:b w:val="0"/>
          <w:bCs w:val="0"/>
        </w:rPr>
        <w:instrText xml:space="preserve"> PAGEREF _Toc31490 \h </w:instrText>
      </w:r>
      <w:r>
        <w:rPr>
          <w:b w:val="0"/>
          <w:bCs w:val="0"/>
        </w:rPr>
        <w:fldChar w:fldCharType="separate"/>
      </w:r>
      <w:r>
        <w:rPr>
          <w:b w:val="0"/>
          <w:bCs w:val="0"/>
        </w:rPr>
        <w:t>- 47 -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35E5510">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_Toc18639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第一节 增强农业综合生产质效</w:t>
      </w:r>
      <w:r>
        <w:rPr>
          <w:b w:val="0"/>
          <w:bCs w:val="0"/>
        </w:rPr>
        <w:tab/>
      </w:r>
      <w:r>
        <w:rPr>
          <w:b w:val="0"/>
          <w:bCs w:val="0"/>
        </w:rPr>
        <w:fldChar w:fldCharType="begin"/>
      </w:r>
      <w:r>
        <w:rPr>
          <w:b w:val="0"/>
          <w:bCs w:val="0"/>
        </w:rPr>
        <w:instrText xml:space="preserve"> PAGEREF _Toc18639 \h </w:instrText>
      </w:r>
      <w:r>
        <w:rPr>
          <w:b w:val="0"/>
          <w:bCs w:val="0"/>
        </w:rPr>
        <w:fldChar w:fldCharType="separate"/>
      </w:r>
      <w:r>
        <w:rPr>
          <w:b w:val="0"/>
          <w:bCs w:val="0"/>
        </w:rPr>
        <w:t>- 47 -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38C2EF1">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_Toc12281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第二节 打造宜居宜业和美乡村</w:t>
      </w:r>
      <w:r>
        <w:rPr>
          <w:b w:val="0"/>
          <w:bCs w:val="0"/>
        </w:rPr>
        <w:tab/>
      </w:r>
      <w:r>
        <w:rPr>
          <w:b w:val="0"/>
          <w:bCs w:val="0"/>
        </w:rPr>
        <w:fldChar w:fldCharType="begin"/>
      </w:r>
      <w:r>
        <w:rPr>
          <w:b w:val="0"/>
          <w:bCs w:val="0"/>
        </w:rPr>
        <w:instrText xml:space="preserve"> PAGEREF _Toc12281 \h </w:instrText>
      </w:r>
      <w:r>
        <w:rPr>
          <w:b w:val="0"/>
          <w:bCs w:val="0"/>
        </w:rPr>
        <w:fldChar w:fldCharType="separate"/>
      </w:r>
      <w:r>
        <w:rPr>
          <w:b w:val="0"/>
          <w:bCs w:val="0"/>
        </w:rPr>
        <w:t>- 49 -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5BAA47B">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_Toc3957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第三节 提升强农惠农富农政策实效</w:t>
      </w:r>
      <w:r>
        <w:rPr>
          <w:b w:val="0"/>
          <w:bCs w:val="0"/>
        </w:rPr>
        <w:tab/>
      </w:r>
      <w:r>
        <w:rPr>
          <w:b w:val="0"/>
          <w:bCs w:val="0"/>
        </w:rPr>
        <w:fldChar w:fldCharType="begin"/>
      </w:r>
      <w:r>
        <w:rPr>
          <w:b w:val="0"/>
          <w:bCs w:val="0"/>
        </w:rPr>
        <w:instrText xml:space="preserve"> PAGEREF _Toc3957 \h </w:instrText>
      </w:r>
      <w:r>
        <w:rPr>
          <w:b w:val="0"/>
          <w:bCs w:val="0"/>
        </w:rPr>
        <w:fldChar w:fldCharType="separate"/>
      </w:r>
      <w:r>
        <w:rPr>
          <w:b w:val="0"/>
          <w:bCs w:val="0"/>
        </w:rPr>
        <w:t>- 50 -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ED3554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_Toc24067 </w:instrText>
      </w:r>
      <w:r>
        <w:rPr>
          <w:rFonts w:hint="eastAsia" w:ascii="仿宋_GB2312" w:hAnsi="仿宋_GB2312" w:eastAsia="仿宋_GB2312" w:cs="仿宋_GB2312"/>
          <w:b w:val="0"/>
          <w:bCs w:val="0"/>
          <w:szCs w:val="28"/>
          <w:highlight w:val="none"/>
        </w:rPr>
        <w:fldChar w:fldCharType="separate"/>
      </w:r>
      <w:r>
        <w:rPr>
          <w:rFonts w:hint="eastAsia" w:ascii="Times New Roman" w:hAnsi="Times New Roman" w:eastAsia="楷体_GB2312"/>
          <w:b w:val="0"/>
          <w:bCs w:val="0"/>
          <w:szCs w:val="24"/>
          <w:highlight w:val="none"/>
          <w:lang w:val="en-US" w:eastAsia="zh-CN"/>
        </w:rPr>
        <w:t>第</w:t>
      </w:r>
      <w:r>
        <w:rPr>
          <w:rFonts w:hint="eastAsia" w:ascii="Times New Roman" w:hAnsi="Times New Roman"/>
          <w:b w:val="0"/>
          <w:bCs w:val="0"/>
          <w:szCs w:val="24"/>
          <w:highlight w:val="none"/>
          <w:lang w:val="en-US" w:eastAsia="zh-CN"/>
        </w:rPr>
        <w:t>四</w:t>
      </w:r>
      <w:r>
        <w:rPr>
          <w:rFonts w:hint="eastAsia" w:ascii="Times New Roman" w:hAnsi="Times New Roman" w:eastAsia="楷体_GB2312"/>
          <w:b w:val="0"/>
          <w:bCs w:val="0"/>
          <w:szCs w:val="24"/>
          <w:highlight w:val="none"/>
          <w:lang w:val="en-US" w:eastAsia="zh-CN"/>
        </w:rPr>
        <w:t xml:space="preserve">节 </w:t>
      </w:r>
      <w:r>
        <w:rPr>
          <w:rFonts w:hint="eastAsia" w:ascii="Times New Roman" w:hAnsi="Times New Roman"/>
          <w:b w:val="0"/>
          <w:bCs w:val="0"/>
          <w:szCs w:val="24"/>
          <w:highlight w:val="none"/>
          <w:lang w:val="en-US" w:eastAsia="zh-CN"/>
        </w:rPr>
        <w:t>统筹建立常态化防止返贫致贫机制</w:t>
      </w:r>
      <w:r>
        <w:rPr>
          <w:b w:val="0"/>
          <w:bCs w:val="0"/>
        </w:rPr>
        <w:tab/>
      </w:r>
      <w:r>
        <w:rPr>
          <w:b w:val="0"/>
          <w:bCs w:val="0"/>
        </w:rPr>
        <w:fldChar w:fldCharType="begin"/>
      </w:r>
      <w:r>
        <w:rPr>
          <w:b w:val="0"/>
          <w:bCs w:val="0"/>
        </w:rPr>
        <w:instrText xml:space="preserve"> PAGEREF _Toc24067 \h </w:instrText>
      </w:r>
      <w:r>
        <w:rPr>
          <w:b w:val="0"/>
          <w:bCs w:val="0"/>
        </w:rPr>
        <w:fldChar w:fldCharType="separate"/>
      </w:r>
      <w:r>
        <w:rPr>
          <w:b w:val="0"/>
          <w:bCs w:val="0"/>
        </w:rPr>
        <w:t>- 52 -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31CEFDB">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_Toc26502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第七章 </w:t>
      </w:r>
      <w:r>
        <w:rPr>
          <w:rFonts w:hint="eastAsia" w:ascii="黑体" w:hAnsi="黑体" w:eastAsia="黑体" w:cs="黑体"/>
          <w:b w:val="0"/>
          <w:bCs w:val="0"/>
          <w:spacing w:val="-6"/>
          <w:szCs w:val="32"/>
          <w:highlight w:val="none"/>
          <w:lang w:val="en-US" w:eastAsia="zh-CN"/>
        </w:rPr>
        <w:t>发挥经济体制改革牵引作用</w:t>
      </w:r>
      <w:r>
        <w:rPr>
          <w:rFonts w:hint="eastAsia" w:eastAsia="黑体" w:asciiTheme="minorAscii" w:hAnsiTheme="minorAscii"/>
          <w:b w:val="0"/>
          <w:bCs w:val="0"/>
          <w:szCs w:val="32"/>
          <w:highlight w:val="none"/>
          <w:lang w:val="en-US" w:eastAsia="zh-CN"/>
        </w:rPr>
        <w:t>，增强高质量发展内生动力</w:t>
      </w:r>
      <w:r>
        <w:rPr>
          <w:b w:val="0"/>
          <w:bCs w:val="0"/>
        </w:rPr>
        <w:tab/>
      </w:r>
      <w:r>
        <w:rPr>
          <w:b w:val="0"/>
          <w:bCs w:val="0"/>
        </w:rPr>
        <w:fldChar w:fldCharType="begin"/>
      </w:r>
      <w:r>
        <w:rPr>
          <w:b w:val="0"/>
          <w:bCs w:val="0"/>
        </w:rPr>
        <w:instrText xml:space="preserve"> PAGEREF _Toc26502 \h </w:instrText>
      </w:r>
      <w:r>
        <w:rPr>
          <w:b w:val="0"/>
          <w:bCs w:val="0"/>
        </w:rPr>
        <w:fldChar w:fldCharType="separate"/>
      </w:r>
      <w:r>
        <w:rPr>
          <w:b w:val="0"/>
          <w:bCs w:val="0"/>
        </w:rPr>
        <w:t>- 54 -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731C80E5">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_Toc30441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第一节 </w:t>
      </w:r>
      <w:r>
        <w:rPr>
          <w:rFonts w:hint="default" w:ascii="楷体_GB2312" w:hAnsi="楷体_GB2312" w:eastAsia="楷体_GB2312" w:cs="楷体_GB2312"/>
          <w:b w:val="0"/>
          <w:bCs w:val="0"/>
          <w:szCs w:val="32"/>
          <w:highlight w:val="none"/>
          <w:lang w:val="en-US" w:eastAsia="zh-CN"/>
        </w:rPr>
        <w:t>充分激发各类经营主体活力</w:t>
      </w:r>
      <w:r>
        <w:rPr>
          <w:b w:val="0"/>
          <w:bCs w:val="0"/>
        </w:rPr>
        <w:tab/>
      </w:r>
      <w:r>
        <w:rPr>
          <w:b w:val="0"/>
          <w:bCs w:val="0"/>
        </w:rPr>
        <w:fldChar w:fldCharType="begin"/>
      </w:r>
      <w:r>
        <w:rPr>
          <w:b w:val="0"/>
          <w:bCs w:val="0"/>
        </w:rPr>
        <w:instrText xml:space="preserve"> PAGEREF _Toc30441 \h </w:instrText>
      </w:r>
      <w:r>
        <w:rPr>
          <w:b w:val="0"/>
          <w:bCs w:val="0"/>
        </w:rPr>
        <w:fldChar w:fldCharType="separate"/>
      </w:r>
      <w:r>
        <w:rPr>
          <w:b w:val="0"/>
          <w:bCs w:val="0"/>
        </w:rPr>
        <w:t>- 54 -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9E740CF">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_Toc25260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第二节 </w:t>
      </w:r>
      <w:r>
        <w:rPr>
          <w:rFonts w:hint="eastAsia" w:ascii="楷体_GB2312" w:hAnsi="楷体_GB2312" w:eastAsia="楷体_GB2312" w:cs="楷体_GB2312"/>
          <w:b w:val="0"/>
          <w:bCs w:val="0"/>
          <w:szCs w:val="32"/>
          <w:highlight w:val="none"/>
          <w:lang w:val="en-US" w:eastAsia="zh-CN"/>
        </w:rPr>
        <w:t>深化</w:t>
      </w:r>
      <w:r>
        <w:rPr>
          <w:rFonts w:hint="default" w:ascii="楷体_GB2312" w:hAnsi="楷体_GB2312" w:eastAsia="楷体_GB2312" w:cs="楷体_GB2312"/>
          <w:b w:val="0"/>
          <w:bCs w:val="0"/>
          <w:szCs w:val="32"/>
          <w:highlight w:val="none"/>
          <w:lang w:val="en-US" w:eastAsia="zh-CN"/>
        </w:rPr>
        <w:t>要素</w:t>
      </w:r>
      <w:r>
        <w:rPr>
          <w:rFonts w:hint="eastAsia" w:ascii="楷体_GB2312" w:hAnsi="楷体_GB2312" w:eastAsia="楷体_GB2312" w:cs="楷体_GB2312"/>
          <w:b w:val="0"/>
          <w:bCs w:val="0"/>
          <w:szCs w:val="32"/>
          <w:highlight w:val="none"/>
          <w:lang w:val="en-US" w:eastAsia="zh-CN"/>
        </w:rPr>
        <w:t>市场化</w:t>
      </w:r>
      <w:r>
        <w:rPr>
          <w:rFonts w:hint="default" w:ascii="楷体_GB2312" w:hAnsi="楷体_GB2312" w:eastAsia="楷体_GB2312" w:cs="楷体_GB2312"/>
          <w:b w:val="0"/>
          <w:bCs w:val="0"/>
          <w:szCs w:val="32"/>
          <w:highlight w:val="none"/>
          <w:lang w:val="en-US" w:eastAsia="zh-CN"/>
        </w:rPr>
        <w:t>配置</w:t>
      </w:r>
      <w:r>
        <w:rPr>
          <w:rFonts w:hint="eastAsia" w:ascii="楷体_GB2312" w:hAnsi="楷体_GB2312" w:eastAsia="楷体_GB2312" w:cs="楷体_GB2312"/>
          <w:b w:val="0"/>
          <w:bCs w:val="0"/>
          <w:szCs w:val="32"/>
          <w:highlight w:val="none"/>
          <w:lang w:val="en-US" w:eastAsia="zh-CN"/>
        </w:rPr>
        <w:t>改革</w:t>
      </w:r>
      <w:r>
        <w:rPr>
          <w:b w:val="0"/>
          <w:bCs w:val="0"/>
        </w:rPr>
        <w:tab/>
      </w:r>
      <w:r>
        <w:rPr>
          <w:b w:val="0"/>
          <w:bCs w:val="0"/>
        </w:rPr>
        <w:fldChar w:fldCharType="begin"/>
      </w:r>
      <w:r>
        <w:rPr>
          <w:b w:val="0"/>
          <w:bCs w:val="0"/>
        </w:rPr>
        <w:instrText xml:space="preserve"> PAGEREF _Toc25260 \h </w:instrText>
      </w:r>
      <w:r>
        <w:rPr>
          <w:b w:val="0"/>
          <w:bCs w:val="0"/>
        </w:rPr>
        <w:fldChar w:fldCharType="separate"/>
      </w:r>
      <w:r>
        <w:rPr>
          <w:b w:val="0"/>
          <w:bCs w:val="0"/>
        </w:rPr>
        <w:t>- 55 -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064A419">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_Toc14476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第三节 </w:t>
      </w:r>
      <w:r>
        <w:rPr>
          <w:rFonts w:hint="default" w:ascii="楷体_GB2312" w:hAnsi="楷体_GB2312" w:eastAsia="楷体_GB2312" w:cs="楷体_GB2312"/>
          <w:b w:val="0"/>
          <w:bCs w:val="0"/>
          <w:szCs w:val="32"/>
          <w:highlight w:val="none"/>
          <w:lang w:val="en-US" w:eastAsia="zh-CN"/>
        </w:rPr>
        <w:t>提高</w:t>
      </w:r>
      <w:r>
        <w:rPr>
          <w:rFonts w:hint="eastAsia" w:ascii="楷体_GB2312" w:hAnsi="楷体_GB2312" w:eastAsia="楷体_GB2312" w:cs="楷体_GB2312"/>
          <w:b w:val="0"/>
          <w:bCs w:val="0"/>
          <w:szCs w:val="32"/>
          <w:highlight w:val="none"/>
          <w:lang w:val="en-US" w:eastAsia="zh-CN"/>
        </w:rPr>
        <w:t>服务经济发展效能</w:t>
      </w:r>
      <w:r>
        <w:rPr>
          <w:b w:val="0"/>
          <w:bCs w:val="0"/>
        </w:rPr>
        <w:tab/>
      </w:r>
      <w:r>
        <w:rPr>
          <w:b w:val="0"/>
          <w:bCs w:val="0"/>
        </w:rPr>
        <w:fldChar w:fldCharType="begin"/>
      </w:r>
      <w:r>
        <w:rPr>
          <w:b w:val="0"/>
          <w:bCs w:val="0"/>
        </w:rPr>
        <w:instrText xml:space="preserve"> PAGEREF _Toc14476 \h </w:instrText>
      </w:r>
      <w:r>
        <w:rPr>
          <w:b w:val="0"/>
          <w:bCs w:val="0"/>
        </w:rPr>
        <w:fldChar w:fldCharType="separate"/>
      </w:r>
      <w:r>
        <w:rPr>
          <w:b w:val="0"/>
          <w:bCs w:val="0"/>
        </w:rPr>
        <w:t>- 57 -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9EB5B66">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_Toc30371 </w:instrText>
      </w:r>
      <w:r>
        <w:rPr>
          <w:rFonts w:hint="eastAsia" w:ascii="仿宋_GB2312" w:hAnsi="仿宋_GB2312" w:eastAsia="仿宋_GB2312" w:cs="仿宋_GB2312"/>
          <w:b w:val="0"/>
          <w:bCs w:val="0"/>
          <w:szCs w:val="28"/>
          <w:highlight w:val="none"/>
        </w:rPr>
        <w:fldChar w:fldCharType="separate"/>
      </w:r>
      <w:r>
        <w:rPr>
          <w:rFonts w:hint="eastAsia" w:cs="Times New Roman" w:asciiTheme="minorAscii" w:hAnsiTheme="minorAscii"/>
          <w:b w:val="0"/>
          <w:bCs w:val="0"/>
          <w:szCs w:val="32"/>
          <w:highlight w:val="none"/>
          <w:lang w:val="en-US" w:eastAsia="zh-CN"/>
        </w:rPr>
        <w:t xml:space="preserve">第八章 </w:t>
      </w:r>
      <w:r>
        <w:rPr>
          <w:rFonts w:hint="eastAsia" w:eastAsia="黑体" w:asciiTheme="minorAscii" w:hAnsiTheme="minorAscii" w:cstheme="minorBidi"/>
          <w:b w:val="0"/>
          <w:bCs w:val="0"/>
          <w:szCs w:val="32"/>
          <w:highlight w:val="none"/>
          <w:lang w:val="en-US" w:eastAsia="zh-CN"/>
        </w:rPr>
        <w:t>主动融入交通枢纽</w:t>
      </w:r>
      <w:r>
        <w:rPr>
          <w:rFonts w:hint="eastAsia" w:eastAsia="黑体" w:asciiTheme="minorAscii" w:hAnsiTheme="minorAscii"/>
          <w:b w:val="0"/>
          <w:bCs w:val="0"/>
          <w:szCs w:val="32"/>
          <w:highlight w:val="none"/>
          <w:lang w:val="en-US" w:eastAsia="zh-CN"/>
        </w:rPr>
        <w:t>节点，塑造开放合作新优势</w:t>
      </w:r>
      <w:r>
        <w:rPr>
          <w:b w:val="0"/>
          <w:bCs w:val="0"/>
        </w:rPr>
        <w:tab/>
      </w:r>
      <w:r>
        <w:rPr>
          <w:b w:val="0"/>
          <w:bCs w:val="0"/>
        </w:rPr>
        <w:fldChar w:fldCharType="begin"/>
      </w:r>
      <w:r>
        <w:rPr>
          <w:b w:val="0"/>
          <w:bCs w:val="0"/>
        </w:rPr>
        <w:instrText xml:space="preserve"> PAGEREF _Toc30371 \h </w:instrText>
      </w:r>
      <w:r>
        <w:rPr>
          <w:b w:val="0"/>
          <w:bCs w:val="0"/>
        </w:rPr>
        <w:fldChar w:fldCharType="separate"/>
      </w:r>
      <w:r>
        <w:rPr>
          <w:b w:val="0"/>
          <w:bCs w:val="0"/>
        </w:rPr>
        <w:t>- 59 -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7F4EB3DE">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_Toc7087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第一节 </w:t>
      </w:r>
      <w:r>
        <w:rPr>
          <w:rFonts w:hint="eastAsia" w:ascii="楷体_GB2312" w:hAnsi="楷体_GB2312" w:eastAsia="楷体_GB2312" w:cs="楷体_GB2312"/>
          <w:b w:val="0"/>
          <w:bCs w:val="0"/>
          <w:szCs w:val="32"/>
          <w:highlight w:val="none"/>
          <w:lang w:val="en-US" w:eastAsia="zh-CN"/>
        </w:rPr>
        <w:t>打造便利地交通枢纽</w:t>
      </w:r>
      <w:r>
        <w:rPr>
          <w:b w:val="0"/>
          <w:bCs w:val="0"/>
        </w:rPr>
        <w:tab/>
      </w:r>
      <w:r>
        <w:rPr>
          <w:b w:val="0"/>
          <w:bCs w:val="0"/>
        </w:rPr>
        <w:fldChar w:fldCharType="begin"/>
      </w:r>
      <w:r>
        <w:rPr>
          <w:b w:val="0"/>
          <w:bCs w:val="0"/>
        </w:rPr>
        <w:instrText xml:space="preserve"> PAGEREF _Toc7087 \h </w:instrText>
      </w:r>
      <w:r>
        <w:rPr>
          <w:b w:val="0"/>
          <w:bCs w:val="0"/>
        </w:rPr>
        <w:fldChar w:fldCharType="separate"/>
      </w:r>
      <w:r>
        <w:rPr>
          <w:b w:val="0"/>
          <w:bCs w:val="0"/>
        </w:rPr>
        <w:t>- 59 -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DF95477">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_Toc29509 </w:instrText>
      </w:r>
      <w:r>
        <w:rPr>
          <w:rFonts w:hint="eastAsia" w:ascii="仿宋_GB2312" w:hAnsi="仿宋_GB2312" w:eastAsia="仿宋_GB2312" w:cs="仿宋_GB2312"/>
          <w:b w:val="0"/>
          <w:bCs w:val="0"/>
          <w:szCs w:val="28"/>
          <w:highlight w:val="none"/>
        </w:rPr>
        <w:fldChar w:fldCharType="separate"/>
      </w:r>
      <w:r>
        <w:rPr>
          <w:rFonts w:hint="eastAsia" w:eastAsia="楷体_GB2312"/>
          <w:b w:val="0"/>
          <w:bCs w:val="0"/>
          <w:highlight w:val="none"/>
          <w:lang w:val="en-US" w:eastAsia="zh-CN"/>
        </w:rPr>
        <w:t>第二节 协同推动县域经济高质量发展</w:t>
      </w:r>
      <w:r>
        <w:rPr>
          <w:b w:val="0"/>
          <w:bCs w:val="0"/>
        </w:rPr>
        <w:tab/>
      </w:r>
      <w:r>
        <w:rPr>
          <w:b w:val="0"/>
          <w:bCs w:val="0"/>
        </w:rPr>
        <w:fldChar w:fldCharType="begin"/>
      </w:r>
      <w:r>
        <w:rPr>
          <w:b w:val="0"/>
          <w:bCs w:val="0"/>
        </w:rPr>
        <w:instrText xml:space="preserve"> PAGEREF _Toc29509 \h </w:instrText>
      </w:r>
      <w:r>
        <w:rPr>
          <w:b w:val="0"/>
          <w:bCs w:val="0"/>
        </w:rPr>
        <w:fldChar w:fldCharType="separate"/>
      </w:r>
      <w:r>
        <w:rPr>
          <w:b w:val="0"/>
          <w:bCs w:val="0"/>
        </w:rPr>
        <w:t>- 60 -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BF1344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_Toc10816 </w:instrText>
      </w:r>
      <w:r>
        <w:rPr>
          <w:rFonts w:hint="eastAsia" w:ascii="仿宋_GB2312" w:hAnsi="仿宋_GB2312" w:eastAsia="仿宋_GB2312" w:cs="仿宋_GB2312"/>
          <w:b w:val="0"/>
          <w:bCs w:val="0"/>
          <w:szCs w:val="28"/>
          <w:highlight w:val="none"/>
        </w:rPr>
        <w:fldChar w:fldCharType="separate"/>
      </w:r>
      <w:r>
        <w:rPr>
          <w:rFonts w:hint="eastAsia" w:ascii="楷体_GB2312" w:hAnsi="楷体_GB2312" w:cs="楷体_GB2312"/>
          <w:b w:val="0"/>
          <w:bCs w:val="0"/>
          <w:szCs w:val="32"/>
          <w:highlight w:val="none"/>
          <w:lang w:val="en-US" w:eastAsia="zh-CN"/>
        </w:rPr>
        <w:t xml:space="preserve">第三节 </w:t>
      </w:r>
      <w:r>
        <w:rPr>
          <w:rFonts w:hint="eastAsia" w:ascii="楷体_GB2312" w:hAnsi="楷体_GB2312" w:eastAsia="楷体_GB2312" w:cs="楷体_GB2312"/>
          <w:b w:val="0"/>
          <w:bCs w:val="0"/>
          <w:szCs w:val="32"/>
          <w:highlight w:val="none"/>
          <w:lang w:val="en-US" w:eastAsia="zh-CN"/>
        </w:rPr>
        <w:t>深化区域产业协同</w:t>
      </w:r>
      <w:r>
        <w:rPr>
          <w:b w:val="0"/>
          <w:bCs w:val="0"/>
        </w:rPr>
        <w:tab/>
      </w:r>
      <w:r>
        <w:rPr>
          <w:b w:val="0"/>
          <w:bCs w:val="0"/>
        </w:rPr>
        <w:fldChar w:fldCharType="begin"/>
      </w:r>
      <w:r>
        <w:rPr>
          <w:b w:val="0"/>
          <w:bCs w:val="0"/>
        </w:rPr>
        <w:instrText xml:space="preserve"> PAGEREF _Toc10816 \h </w:instrText>
      </w:r>
      <w:r>
        <w:rPr>
          <w:b w:val="0"/>
          <w:bCs w:val="0"/>
        </w:rPr>
        <w:fldChar w:fldCharType="separate"/>
      </w:r>
      <w:r>
        <w:rPr>
          <w:b w:val="0"/>
          <w:bCs w:val="0"/>
        </w:rPr>
        <w:t>- 61 -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42D0F80">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_Toc22088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第四节 </w:t>
      </w:r>
      <w:r>
        <w:rPr>
          <w:rFonts w:hint="eastAsia" w:ascii="楷体_GB2312" w:hAnsi="楷体_GB2312" w:eastAsia="楷体_GB2312" w:cs="楷体_GB2312"/>
          <w:b w:val="0"/>
          <w:bCs w:val="0"/>
          <w:szCs w:val="32"/>
          <w:highlight w:val="none"/>
          <w:lang w:val="en-US" w:eastAsia="zh-CN"/>
        </w:rPr>
        <w:t>拓展高水平国际合作空间</w:t>
      </w:r>
      <w:r>
        <w:rPr>
          <w:b w:val="0"/>
          <w:bCs w:val="0"/>
        </w:rPr>
        <w:tab/>
      </w:r>
      <w:r>
        <w:rPr>
          <w:b w:val="0"/>
          <w:bCs w:val="0"/>
        </w:rPr>
        <w:fldChar w:fldCharType="begin"/>
      </w:r>
      <w:r>
        <w:rPr>
          <w:b w:val="0"/>
          <w:bCs w:val="0"/>
        </w:rPr>
        <w:instrText xml:space="preserve"> PAGEREF _Toc22088 \h </w:instrText>
      </w:r>
      <w:r>
        <w:rPr>
          <w:b w:val="0"/>
          <w:bCs w:val="0"/>
        </w:rPr>
        <w:fldChar w:fldCharType="separate"/>
      </w:r>
      <w:r>
        <w:rPr>
          <w:b w:val="0"/>
          <w:bCs w:val="0"/>
        </w:rPr>
        <w:t>- 62 -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A912B4F">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_Toc180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第五节 </w:t>
      </w:r>
      <w:r>
        <w:rPr>
          <w:rFonts w:hint="eastAsia" w:ascii="楷体_GB2312" w:hAnsi="楷体_GB2312" w:eastAsia="楷体_GB2312" w:cs="楷体_GB2312"/>
          <w:b w:val="0"/>
          <w:bCs w:val="0"/>
          <w:szCs w:val="32"/>
          <w:highlight w:val="none"/>
          <w:lang w:val="en-US" w:eastAsia="zh-CN"/>
        </w:rPr>
        <w:t>打造市场化法治化国际化</w:t>
      </w:r>
      <w:r>
        <w:rPr>
          <w:rFonts w:hint="eastAsia" w:ascii="楷体_GB2312" w:hAnsi="楷体_GB2312" w:cs="楷体_GB2312"/>
          <w:b w:val="0"/>
          <w:bCs w:val="0"/>
          <w:szCs w:val="32"/>
          <w:highlight w:val="none"/>
          <w:lang w:val="en-US" w:eastAsia="zh-CN"/>
        </w:rPr>
        <w:t>一流</w:t>
      </w:r>
      <w:r>
        <w:rPr>
          <w:rFonts w:hint="eastAsia" w:ascii="楷体_GB2312" w:hAnsi="楷体_GB2312" w:eastAsia="楷体_GB2312" w:cs="楷体_GB2312"/>
          <w:b w:val="0"/>
          <w:bCs w:val="0"/>
          <w:szCs w:val="32"/>
          <w:highlight w:val="none"/>
          <w:lang w:val="en-US" w:eastAsia="zh-CN"/>
        </w:rPr>
        <w:t>营商环境</w:t>
      </w:r>
      <w:r>
        <w:rPr>
          <w:b w:val="0"/>
          <w:bCs w:val="0"/>
        </w:rPr>
        <w:tab/>
      </w:r>
      <w:r>
        <w:rPr>
          <w:b w:val="0"/>
          <w:bCs w:val="0"/>
        </w:rPr>
        <w:fldChar w:fldCharType="begin"/>
      </w:r>
      <w:r>
        <w:rPr>
          <w:b w:val="0"/>
          <w:bCs w:val="0"/>
        </w:rPr>
        <w:instrText xml:space="preserve"> PAGEREF _Toc180 \h </w:instrText>
      </w:r>
      <w:r>
        <w:rPr>
          <w:b w:val="0"/>
          <w:bCs w:val="0"/>
        </w:rPr>
        <w:fldChar w:fldCharType="separate"/>
      </w:r>
      <w:r>
        <w:rPr>
          <w:b w:val="0"/>
          <w:bCs w:val="0"/>
        </w:rPr>
        <w:t>- 63 -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EC82FEF">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_Toc20885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 xml:space="preserve">第九章 </w:t>
      </w:r>
      <w:r>
        <w:rPr>
          <w:rFonts w:hint="eastAsia" w:eastAsia="黑体" w:asciiTheme="minorAscii" w:hAnsiTheme="minorAscii"/>
          <w:b w:val="0"/>
          <w:bCs w:val="0"/>
          <w:szCs w:val="32"/>
          <w:highlight w:val="none"/>
          <w:lang w:val="en-US" w:eastAsia="zh-CN"/>
        </w:rPr>
        <w:t>推进新型城镇化建设，促进城乡融合发展</w:t>
      </w:r>
      <w:r>
        <w:rPr>
          <w:b w:val="0"/>
          <w:bCs w:val="0"/>
        </w:rPr>
        <w:tab/>
      </w:r>
      <w:r>
        <w:rPr>
          <w:b w:val="0"/>
          <w:bCs w:val="0"/>
        </w:rPr>
        <w:fldChar w:fldCharType="begin"/>
      </w:r>
      <w:r>
        <w:rPr>
          <w:b w:val="0"/>
          <w:bCs w:val="0"/>
        </w:rPr>
        <w:instrText xml:space="preserve"> PAGEREF _Toc20885 \h </w:instrText>
      </w:r>
      <w:r>
        <w:rPr>
          <w:b w:val="0"/>
          <w:bCs w:val="0"/>
        </w:rPr>
        <w:fldChar w:fldCharType="separate"/>
      </w:r>
      <w:r>
        <w:rPr>
          <w:b w:val="0"/>
          <w:bCs w:val="0"/>
        </w:rPr>
        <w:t>- 65 -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5CD88B6">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_Toc7023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第一节 优化国土空间发展格局</w:t>
      </w:r>
      <w:r>
        <w:rPr>
          <w:b w:val="0"/>
          <w:bCs w:val="0"/>
        </w:rPr>
        <w:tab/>
      </w:r>
      <w:r>
        <w:rPr>
          <w:b w:val="0"/>
          <w:bCs w:val="0"/>
        </w:rPr>
        <w:fldChar w:fldCharType="begin"/>
      </w:r>
      <w:r>
        <w:rPr>
          <w:b w:val="0"/>
          <w:bCs w:val="0"/>
        </w:rPr>
        <w:instrText xml:space="preserve"> PAGEREF _Toc7023 \h </w:instrText>
      </w:r>
      <w:r>
        <w:rPr>
          <w:b w:val="0"/>
          <w:bCs w:val="0"/>
        </w:rPr>
        <w:fldChar w:fldCharType="separate"/>
      </w:r>
      <w:r>
        <w:rPr>
          <w:b w:val="0"/>
          <w:bCs w:val="0"/>
        </w:rPr>
        <w:t>- 65 -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AEAC4D1">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_Toc16797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第二节 夯实新型城镇化核心基础</w:t>
      </w:r>
      <w:r>
        <w:rPr>
          <w:b w:val="0"/>
          <w:bCs w:val="0"/>
        </w:rPr>
        <w:tab/>
      </w:r>
      <w:r>
        <w:rPr>
          <w:b w:val="0"/>
          <w:bCs w:val="0"/>
        </w:rPr>
        <w:fldChar w:fldCharType="begin"/>
      </w:r>
      <w:r>
        <w:rPr>
          <w:b w:val="0"/>
          <w:bCs w:val="0"/>
        </w:rPr>
        <w:instrText xml:space="preserve"> PAGEREF _Toc16797 \h </w:instrText>
      </w:r>
      <w:r>
        <w:rPr>
          <w:b w:val="0"/>
          <w:bCs w:val="0"/>
        </w:rPr>
        <w:fldChar w:fldCharType="separate"/>
      </w:r>
      <w:r>
        <w:rPr>
          <w:b w:val="0"/>
          <w:bCs w:val="0"/>
        </w:rPr>
        <w:t>- 67 -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D2EB47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_Toc22613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第三节 推动城镇产业空间升级</w:t>
      </w:r>
      <w:r>
        <w:rPr>
          <w:b w:val="0"/>
          <w:bCs w:val="0"/>
        </w:rPr>
        <w:tab/>
      </w:r>
      <w:r>
        <w:rPr>
          <w:b w:val="0"/>
          <w:bCs w:val="0"/>
        </w:rPr>
        <w:fldChar w:fldCharType="begin"/>
      </w:r>
      <w:r>
        <w:rPr>
          <w:b w:val="0"/>
          <w:bCs w:val="0"/>
        </w:rPr>
        <w:instrText xml:space="preserve"> PAGEREF _Toc22613 \h </w:instrText>
      </w:r>
      <w:r>
        <w:rPr>
          <w:b w:val="0"/>
          <w:bCs w:val="0"/>
        </w:rPr>
        <w:fldChar w:fldCharType="separate"/>
      </w:r>
      <w:r>
        <w:rPr>
          <w:b w:val="0"/>
          <w:bCs w:val="0"/>
        </w:rPr>
        <w:t>- 69 -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410AD324">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_Toc31514 </w:instrText>
      </w:r>
      <w:r>
        <w:rPr>
          <w:rFonts w:hint="eastAsia" w:ascii="仿宋_GB2312" w:hAnsi="仿宋_GB2312" w:eastAsia="仿宋_GB2312" w:cs="仿宋_GB2312"/>
          <w:b w:val="0"/>
          <w:bCs w:val="0"/>
          <w:szCs w:val="28"/>
          <w:highlight w:val="none"/>
        </w:rPr>
        <w:fldChar w:fldCharType="separate"/>
      </w:r>
      <w:r>
        <w:rPr>
          <w:rFonts w:hint="eastAsia" w:ascii="Times New Roman" w:hAnsi="Times New Roman"/>
          <w:b w:val="0"/>
          <w:bCs w:val="0"/>
          <w:szCs w:val="24"/>
          <w:highlight w:val="none"/>
          <w:lang w:val="en-US" w:eastAsia="zh-CN"/>
        </w:rPr>
        <w:t>第四节 深化城市更新行动</w:t>
      </w:r>
      <w:r>
        <w:rPr>
          <w:b w:val="0"/>
          <w:bCs w:val="0"/>
        </w:rPr>
        <w:tab/>
      </w:r>
      <w:r>
        <w:rPr>
          <w:b w:val="0"/>
          <w:bCs w:val="0"/>
        </w:rPr>
        <w:fldChar w:fldCharType="begin"/>
      </w:r>
      <w:r>
        <w:rPr>
          <w:b w:val="0"/>
          <w:bCs w:val="0"/>
        </w:rPr>
        <w:instrText xml:space="preserve"> PAGEREF _Toc31514 \h </w:instrText>
      </w:r>
      <w:r>
        <w:rPr>
          <w:b w:val="0"/>
          <w:bCs w:val="0"/>
        </w:rPr>
        <w:fldChar w:fldCharType="separate"/>
      </w:r>
      <w:r>
        <w:rPr>
          <w:b w:val="0"/>
          <w:bCs w:val="0"/>
        </w:rPr>
        <w:t>- 71 -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80BF23B">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_Toc5619 </w:instrText>
      </w:r>
      <w:r>
        <w:rPr>
          <w:rFonts w:hint="eastAsia" w:ascii="仿宋_GB2312" w:hAnsi="仿宋_GB2312" w:eastAsia="仿宋_GB2312" w:cs="仿宋_GB2312"/>
          <w:b w:val="0"/>
          <w:bCs w:val="0"/>
          <w:szCs w:val="28"/>
          <w:highlight w:val="none"/>
        </w:rPr>
        <w:fldChar w:fldCharType="separate"/>
      </w:r>
      <w:r>
        <w:rPr>
          <w:rFonts w:hint="eastAsia" w:ascii="Times New Roman" w:hAnsi="Times New Roman"/>
          <w:b w:val="0"/>
          <w:bCs w:val="0"/>
          <w:szCs w:val="24"/>
          <w:highlight w:val="none"/>
          <w:lang w:val="en-US" w:eastAsia="zh-CN"/>
        </w:rPr>
        <w:t>第五节 健全多层次住房保障与供应体系</w:t>
      </w:r>
      <w:r>
        <w:rPr>
          <w:b w:val="0"/>
          <w:bCs w:val="0"/>
        </w:rPr>
        <w:tab/>
      </w:r>
      <w:r>
        <w:rPr>
          <w:b w:val="0"/>
          <w:bCs w:val="0"/>
        </w:rPr>
        <w:fldChar w:fldCharType="begin"/>
      </w:r>
      <w:r>
        <w:rPr>
          <w:b w:val="0"/>
          <w:bCs w:val="0"/>
        </w:rPr>
        <w:instrText xml:space="preserve"> PAGEREF _Toc5619 \h </w:instrText>
      </w:r>
      <w:r>
        <w:rPr>
          <w:b w:val="0"/>
          <w:bCs w:val="0"/>
        </w:rPr>
        <w:fldChar w:fldCharType="separate"/>
      </w:r>
      <w:r>
        <w:rPr>
          <w:b w:val="0"/>
          <w:bCs w:val="0"/>
        </w:rPr>
        <w:t>- 72 -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35BA49A">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_Toc21536 </w:instrText>
      </w:r>
      <w:r>
        <w:rPr>
          <w:rFonts w:hint="eastAsia" w:ascii="仿宋_GB2312" w:hAnsi="仿宋_GB2312" w:eastAsia="仿宋_GB2312" w:cs="仿宋_GB2312"/>
          <w:b w:val="0"/>
          <w:bCs w:val="0"/>
          <w:szCs w:val="28"/>
          <w:highlight w:val="none"/>
        </w:rPr>
        <w:fldChar w:fldCharType="separate"/>
      </w:r>
      <w:r>
        <w:rPr>
          <w:rFonts w:hint="eastAsia" w:eastAsia="黑体" w:cs="Times New Roman" w:asciiTheme="minorAscii" w:hAnsiTheme="minorAscii"/>
          <w:b w:val="0"/>
          <w:bCs w:val="0"/>
          <w:szCs w:val="32"/>
          <w:highlight w:val="none"/>
          <w:lang w:val="en-US" w:eastAsia="zh-CN"/>
        </w:rPr>
        <w:t xml:space="preserve">第十章 </w:t>
      </w:r>
      <w:r>
        <w:rPr>
          <w:rFonts w:hint="eastAsia" w:eastAsia="黑体" w:asciiTheme="minorAscii" w:hAnsiTheme="minorAscii"/>
          <w:b w:val="0"/>
          <w:bCs w:val="0"/>
          <w:szCs w:val="32"/>
          <w:highlight w:val="none"/>
          <w:lang w:val="en-US" w:eastAsia="zh-CN"/>
        </w:rPr>
        <w:t>繁荣发展宾阳文化，增强县域软实力</w:t>
      </w:r>
      <w:r>
        <w:rPr>
          <w:b w:val="0"/>
          <w:bCs w:val="0"/>
        </w:rPr>
        <w:tab/>
      </w:r>
      <w:r>
        <w:rPr>
          <w:b w:val="0"/>
          <w:bCs w:val="0"/>
        </w:rPr>
        <w:fldChar w:fldCharType="begin"/>
      </w:r>
      <w:r>
        <w:rPr>
          <w:b w:val="0"/>
          <w:bCs w:val="0"/>
        </w:rPr>
        <w:instrText xml:space="preserve"> PAGEREF _Toc21536 \h </w:instrText>
      </w:r>
      <w:r>
        <w:rPr>
          <w:b w:val="0"/>
          <w:bCs w:val="0"/>
        </w:rPr>
        <w:fldChar w:fldCharType="separate"/>
      </w:r>
      <w:r>
        <w:rPr>
          <w:b w:val="0"/>
          <w:bCs w:val="0"/>
        </w:rPr>
        <w:t>- 74 -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68EB20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_Toc25827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第一节 </w:t>
      </w:r>
      <w:r>
        <w:rPr>
          <w:rFonts w:hint="eastAsia" w:ascii="楷体_GB2312" w:hAnsi="楷体_GB2312" w:eastAsia="楷体_GB2312" w:cs="楷体_GB2312"/>
          <w:b w:val="0"/>
          <w:bCs w:val="0"/>
          <w:szCs w:val="32"/>
          <w:highlight w:val="none"/>
          <w:lang w:val="en-US" w:eastAsia="zh-CN"/>
        </w:rPr>
        <w:t>弘扬和践行社会主义核心价值观</w:t>
      </w:r>
      <w:r>
        <w:rPr>
          <w:b w:val="0"/>
          <w:bCs w:val="0"/>
        </w:rPr>
        <w:tab/>
      </w:r>
      <w:r>
        <w:rPr>
          <w:b w:val="0"/>
          <w:bCs w:val="0"/>
        </w:rPr>
        <w:fldChar w:fldCharType="begin"/>
      </w:r>
      <w:r>
        <w:rPr>
          <w:b w:val="0"/>
          <w:bCs w:val="0"/>
        </w:rPr>
        <w:instrText xml:space="preserve"> PAGEREF _Toc25827 \h </w:instrText>
      </w:r>
      <w:r>
        <w:rPr>
          <w:b w:val="0"/>
          <w:bCs w:val="0"/>
        </w:rPr>
        <w:fldChar w:fldCharType="separate"/>
      </w:r>
      <w:r>
        <w:rPr>
          <w:b w:val="0"/>
          <w:bCs w:val="0"/>
        </w:rPr>
        <w:t>- 74 -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EB9E2D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_Toc10857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eastAsia="仿宋_GB2312" w:cs="仿宋_GB2312"/>
          <w:b w:val="0"/>
          <w:bCs w:val="0"/>
          <w:szCs w:val="32"/>
          <w:highlight w:val="none"/>
          <w:lang w:val="en-US" w:eastAsia="zh-CN"/>
        </w:rPr>
        <w:t xml:space="preserve">第二节 </w:t>
      </w:r>
      <w:r>
        <w:rPr>
          <w:rFonts w:hint="eastAsia" w:ascii="楷体_GB2312" w:hAnsi="楷体_GB2312" w:eastAsia="楷体_GB2312" w:cs="楷体_GB2312"/>
          <w:b w:val="0"/>
          <w:bCs w:val="0"/>
          <w:szCs w:val="32"/>
          <w:highlight w:val="none"/>
          <w:lang w:val="en-US" w:eastAsia="zh-CN"/>
        </w:rPr>
        <w:t>大力繁荣文化事业</w:t>
      </w:r>
      <w:r>
        <w:rPr>
          <w:b w:val="0"/>
          <w:bCs w:val="0"/>
        </w:rPr>
        <w:tab/>
      </w:r>
      <w:r>
        <w:rPr>
          <w:b w:val="0"/>
          <w:bCs w:val="0"/>
        </w:rPr>
        <w:fldChar w:fldCharType="begin"/>
      </w:r>
      <w:r>
        <w:rPr>
          <w:b w:val="0"/>
          <w:bCs w:val="0"/>
        </w:rPr>
        <w:instrText xml:space="preserve"> PAGEREF _Toc10857 \h </w:instrText>
      </w:r>
      <w:r>
        <w:rPr>
          <w:b w:val="0"/>
          <w:bCs w:val="0"/>
        </w:rPr>
        <w:fldChar w:fldCharType="separate"/>
      </w:r>
      <w:r>
        <w:rPr>
          <w:b w:val="0"/>
          <w:bCs w:val="0"/>
        </w:rPr>
        <w:t>- 75 -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2E90C62">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_Toc9559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第三节 </w:t>
      </w:r>
      <w:r>
        <w:rPr>
          <w:rFonts w:hint="eastAsia" w:ascii="楷体_GB2312" w:hAnsi="楷体_GB2312" w:eastAsia="楷体_GB2312" w:cs="楷体_GB2312"/>
          <w:b w:val="0"/>
          <w:bCs w:val="0"/>
          <w:szCs w:val="32"/>
          <w:highlight w:val="none"/>
          <w:lang w:val="en-US" w:eastAsia="zh-CN"/>
        </w:rPr>
        <w:t>加快发展文化产业</w:t>
      </w:r>
      <w:r>
        <w:rPr>
          <w:b w:val="0"/>
          <w:bCs w:val="0"/>
        </w:rPr>
        <w:tab/>
      </w:r>
      <w:r>
        <w:rPr>
          <w:b w:val="0"/>
          <w:bCs w:val="0"/>
        </w:rPr>
        <w:fldChar w:fldCharType="begin"/>
      </w:r>
      <w:r>
        <w:rPr>
          <w:b w:val="0"/>
          <w:bCs w:val="0"/>
        </w:rPr>
        <w:instrText xml:space="preserve"> PAGEREF _Toc9559 \h </w:instrText>
      </w:r>
      <w:r>
        <w:rPr>
          <w:b w:val="0"/>
          <w:bCs w:val="0"/>
        </w:rPr>
        <w:fldChar w:fldCharType="separate"/>
      </w:r>
      <w:r>
        <w:rPr>
          <w:b w:val="0"/>
          <w:bCs w:val="0"/>
        </w:rPr>
        <w:t>- 77 -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294B4A36">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_Toc31036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第四节 </w:t>
      </w:r>
      <w:r>
        <w:rPr>
          <w:rFonts w:hint="eastAsia" w:ascii="楷体_GB2312" w:hAnsi="楷体_GB2312" w:eastAsia="楷体_GB2312" w:cs="楷体_GB2312"/>
          <w:b w:val="0"/>
          <w:bCs w:val="0"/>
          <w:szCs w:val="32"/>
          <w:highlight w:val="none"/>
        </w:rPr>
        <w:t>推进文旅深度融合发展</w:t>
      </w:r>
      <w:r>
        <w:rPr>
          <w:b w:val="0"/>
          <w:bCs w:val="0"/>
        </w:rPr>
        <w:tab/>
      </w:r>
      <w:r>
        <w:rPr>
          <w:b w:val="0"/>
          <w:bCs w:val="0"/>
        </w:rPr>
        <w:fldChar w:fldCharType="begin"/>
      </w:r>
      <w:r>
        <w:rPr>
          <w:b w:val="0"/>
          <w:bCs w:val="0"/>
        </w:rPr>
        <w:instrText xml:space="preserve"> PAGEREF _Toc31036 \h </w:instrText>
      </w:r>
      <w:r>
        <w:rPr>
          <w:b w:val="0"/>
          <w:bCs w:val="0"/>
        </w:rPr>
        <w:fldChar w:fldCharType="separate"/>
      </w:r>
      <w:r>
        <w:rPr>
          <w:b w:val="0"/>
          <w:bCs w:val="0"/>
        </w:rPr>
        <w:t>- 78 -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7EDE761">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_Toc31214 </w:instrText>
      </w:r>
      <w:r>
        <w:rPr>
          <w:rFonts w:hint="eastAsia" w:ascii="仿宋_GB2312" w:hAnsi="仿宋_GB2312" w:eastAsia="仿宋_GB2312" w:cs="仿宋_GB2312"/>
          <w:b w:val="0"/>
          <w:bCs w:val="0"/>
          <w:szCs w:val="28"/>
          <w:highlight w:val="none"/>
        </w:rPr>
        <w:fldChar w:fldCharType="separate"/>
      </w:r>
      <w:r>
        <w:rPr>
          <w:rFonts w:hint="eastAsia" w:cs="Times New Roman" w:asciiTheme="minorAscii" w:hAnsiTheme="minorAscii"/>
          <w:b w:val="0"/>
          <w:bCs w:val="0"/>
          <w:szCs w:val="32"/>
          <w:highlight w:val="none"/>
          <w:lang w:val="en-US" w:eastAsia="zh-CN"/>
        </w:rPr>
        <w:t xml:space="preserve">第十一章 </w:t>
      </w:r>
      <w:r>
        <w:rPr>
          <w:rFonts w:hint="eastAsia" w:eastAsia="黑体" w:asciiTheme="minorAscii" w:hAnsiTheme="minorAscii"/>
          <w:b w:val="0"/>
          <w:bCs w:val="0"/>
          <w:szCs w:val="32"/>
          <w:highlight w:val="none"/>
          <w:lang w:val="en-US" w:eastAsia="zh-CN"/>
        </w:rPr>
        <w:t>深入推进贯彻落实建设铸牢中华民族共同体意识示范区工作，争创全国民族团结进步示范县</w:t>
      </w:r>
      <w:r>
        <w:rPr>
          <w:b w:val="0"/>
          <w:bCs w:val="0"/>
        </w:rPr>
        <w:tab/>
      </w:r>
      <w:r>
        <w:rPr>
          <w:b w:val="0"/>
          <w:bCs w:val="0"/>
        </w:rPr>
        <w:fldChar w:fldCharType="begin"/>
      </w:r>
      <w:r>
        <w:rPr>
          <w:b w:val="0"/>
          <w:bCs w:val="0"/>
        </w:rPr>
        <w:instrText xml:space="preserve"> PAGEREF _Toc31214 \h </w:instrText>
      </w:r>
      <w:r>
        <w:rPr>
          <w:b w:val="0"/>
          <w:bCs w:val="0"/>
        </w:rPr>
        <w:fldChar w:fldCharType="separate"/>
      </w:r>
      <w:r>
        <w:rPr>
          <w:b w:val="0"/>
          <w:bCs w:val="0"/>
        </w:rPr>
        <w:t>- 80 -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4AD6F22B">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_Toc25447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第一节 </w:t>
      </w:r>
      <w:r>
        <w:rPr>
          <w:rFonts w:hint="eastAsia" w:ascii="楷体_GB2312" w:hAnsi="楷体_GB2312" w:eastAsia="楷体_GB2312" w:cs="楷体_GB2312"/>
          <w:b w:val="0"/>
          <w:bCs w:val="0"/>
          <w:strike w:val="0"/>
          <w:dstrike w:val="0"/>
          <w:szCs w:val="32"/>
          <w:highlight w:val="none"/>
        </w:rPr>
        <w:t>推动各民族共同走向社会主义现代化</w:t>
      </w:r>
      <w:r>
        <w:rPr>
          <w:b w:val="0"/>
          <w:bCs w:val="0"/>
        </w:rPr>
        <w:tab/>
      </w:r>
      <w:r>
        <w:rPr>
          <w:b w:val="0"/>
          <w:bCs w:val="0"/>
        </w:rPr>
        <w:fldChar w:fldCharType="begin"/>
      </w:r>
      <w:r>
        <w:rPr>
          <w:b w:val="0"/>
          <w:bCs w:val="0"/>
        </w:rPr>
        <w:instrText xml:space="preserve"> PAGEREF _Toc25447 \h </w:instrText>
      </w:r>
      <w:r>
        <w:rPr>
          <w:b w:val="0"/>
          <w:bCs w:val="0"/>
        </w:rPr>
        <w:fldChar w:fldCharType="separate"/>
      </w:r>
      <w:r>
        <w:rPr>
          <w:b w:val="0"/>
          <w:bCs w:val="0"/>
        </w:rPr>
        <w:t>- 80 -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7BF0E7DE">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_Toc575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第二节 </w:t>
      </w:r>
      <w:r>
        <w:rPr>
          <w:rFonts w:hint="eastAsia" w:ascii="楷体" w:hAnsi="楷体" w:eastAsia="楷体" w:cs="楷体"/>
          <w:b w:val="0"/>
          <w:bCs w:val="0"/>
          <w:i w:val="0"/>
          <w:iCs w:val="0"/>
          <w:caps w:val="0"/>
          <w:spacing w:val="0"/>
          <w:szCs w:val="32"/>
          <w:highlight w:val="none"/>
          <w:shd w:val="clear" w:fill="FFFFFF"/>
        </w:rPr>
        <w:t>加强铸牢中华民族共同体意识理论研究和宣传教育</w:t>
      </w:r>
      <w:r>
        <w:rPr>
          <w:b w:val="0"/>
          <w:bCs w:val="0"/>
        </w:rPr>
        <w:tab/>
      </w:r>
      <w:r>
        <w:rPr>
          <w:b w:val="0"/>
          <w:bCs w:val="0"/>
        </w:rPr>
        <w:fldChar w:fldCharType="begin"/>
      </w:r>
      <w:r>
        <w:rPr>
          <w:b w:val="0"/>
          <w:bCs w:val="0"/>
        </w:rPr>
        <w:instrText xml:space="preserve"> PAGEREF _Toc575 \h </w:instrText>
      </w:r>
      <w:r>
        <w:rPr>
          <w:b w:val="0"/>
          <w:bCs w:val="0"/>
        </w:rPr>
        <w:fldChar w:fldCharType="separate"/>
      </w:r>
      <w:r>
        <w:rPr>
          <w:b w:val="0"/>
          <w:bCs w:val="0"/>
        </w:rPr>
        <w:t>- 81 -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2ECFBA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_Toc31262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第三节 </w:t>
      </w:r>
      <w:r>
        <w:rPr>
          <w:rFonts w:hint="eastAsia" w:ascii="楷体_GB2312" w:hAnsi="楷体_GB2312" w:eastAsia="楷体_GB2312" w:cs="楷体_GB2312"/>
          <w:b w:val="0"/>
          <w:bCs w:val="0"/>
          <w:szCs w:val="32"/>
          <w:highlight w:val="none"/>
          <w:lang w:val="en-US" w:eastAsia="zh-CN"/>
        </w:rPr>
        <w:t>促进各民族广泛交往交流交融</w:t>
      </w:r>
      <w:r>
        <w:rPr>
          <w:b w:val="0"/>
          <w:bCs w:val="0"/>
        </w:rPr>
        <w:tab/>
      </w:r>
      <w:r>
        <w:rPr>
          <w:b w:val="0"/>
          <w:bCs w:val="0"/>
        </w:rPr>
        <w:fldChar w:fldCharType="begin"/>
      </w:r>
      <w:r>
        <w:rPr>
          <w:b w:val="0"/>
          <w:bCs w:val="0"/>
        </w:rPr>
        <w:instrText xml:space="preserve"> PAGEREF _Toc31262 \h </w:instrText>
      </w:r>
      <w:r>
        <w:rPr>
          <w:b w:val="0"/>
          <w:bCs w:val="0"/>
        </w:rPr>
        <w:fldChar w:fldCharType="separate"/>
      </w:r>
      <w:r>
        <w:rPr>
          <w:b w:val="0"/>
          <w:bCs w:val="0"/>
        </w:rPr>
        <w:t>- 83 -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C048861">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_Toc8899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 xml:space="preserve">第十二章 </w:t>
      </w:r>
      <w:r>
        <w:rPr>
          <w:rFonts w:hint="eastAsia" w:eastAsia="黑体" w:asciiTheme="minorAscii" w:hAnsiTheme="minorAscii"/>
          <w:b w:val="0"/>
          <w:bCs w:val="0"/>
          <w:szCs w:val="32"/>
          <w:highlight w:val="none"/>
          <w:lang w:val="en-US" w:eastAsia="zh-CN"/>
        </w:rPr>
        <w:t>加大保障和改善民生力度</w:t>
      </w:r>
      <w:r>
        <w:rPr>
          <w:rFonts w:hint="default" w:ascii="Arial" w:hAnsi="Arial" w:cs="Times New Roman"/>
          <w:b w:val="0"/>
          <w:bCs w:val="0"/>
          <w:szCs w:val="32"/>
          <w:highlight w:val="none"/>
          <w:lang w:val="en-US" w:eastAsia="zh-CN"/>
        </w:rPr>
        <w:t>，增进人民福祉</w:t>
      </w:r>
      <w:r>
        <w:rPr>
          <w:b w:val="0"/>
          <w:bCs w:val="0"/>
        </w:rPr>
        <w:tab/>
      </w:r>
      <w:r>
        <w:rPr>
          <w:b w:val="0"/>
          <w:bCs w:val="0"/>
        </w:rPr>
        <w:fldChar w:fldCharType="begin"/>
      </w:r>
      <w:r>
        <w:rPr>
          <w:b w:val="0"/>
          <w:bCs w:val="0"/>
        </w:rPr>
        <w:instrText xml:space="preserve"> PAGEREF _Toc8899 \h </w:instrText>
      </w:r>
      <w:r>
        <w:rPr>
          <w:b w:val="0"/>
          <w:bCs w:val="0"/>
        </w:rPr>
        <w:fldChar w:fldCharType="separate"/>
      </w:r>
      <w:r>
        <w:rPr>
          <w:b w:val="0"/>
          <w:bCs w:val="0"/>
        </w:rPr>
        <w:t>- 85 -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75F937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_Toc4028 </w:instrText>
      </w:r>
      <w:r>
        <w:rPr>
          <w:rFonts w:hint="eastAsia" w:ascii="仿宋_GB2312" w:hAnsi="仿宋_GB2312" w:eastAsia="仿宋_GB2312" w:cs="仿宋_GB2312"/>
          <w:b w:val="0"/>
          <w:bCs w:val="0"/>
          <w:szCs w:val="28"/>
          <w:highlight w:val="none"/>
        </w:rPr>
        <w:fldChar w:fldCharType="separate"/>
      </w:r>
      <w:r>
        <w:rPr>
          <w:rFonts w:hint="eastAsia" w:ascii="Arial" w:hAnsi="Arial" w:cs="Times New Roman"/>
          <w:b w:val="0"/>
          <w:bCs w:val="0"/>
          <w:szCs w:val="32"/>
          <w:highlight w:val="none"/>
          <w:lang w:val="en-US" w:eastAsia="zh-CN"/>
        </w:rPr>
        <w:t xml:space="preserve">第一节 </w:t>
      </w:r>
      <w:r>
        <w:rPr>
          <w:rFonts w:hint="eastAsia" w:ascii="楷体_GB2312" w:hAnsi="楷体_GB2312" w:eastAsia="楷体_GB2312" w:cs="楷体_GB2312"/>
          <w:b w:val="0"/>
          <w:bCs w:val="0"/>
          <w:szCs w:val="32"/>
          <w:highlight w:val="none"/>
          <w:lang w:val="en-US" w:eastAsia="zh-CN"/>
        </w:rPr>
        <w:t>促进高质量充分就业和多渠道增收</w:t>
      </w:r>
      <w:r>
        <w:rPr>
          <w:b w:val="0"/>
          <w:bCs w:val="0"/>
        </w:rPr>
        <w:tab/>
      </w:r>
      <w:r>
        <w:rPr>
          <w:b w:val="0"/>
          <w:bCs w:val="0"/>
        </w:rPr>
        <w:fldChar w:fldCharType="begin"/>
      </w:r>
      <w:r>
        <w:rPr>
          <w:b w:val="0"/>
          <w:bCs w:val="0"/>
        </w:rPr>
        <w:instrText xml:space="preserve"> PAGEREF _Toc4028 \h </w:instrText>
      </w:r>
      <w:r>
        <w:rPr>
          <w:b w:val="0"/>
          <w:bCs w:val="0"/>
        </w:rPr>
        <w:fldChar w:fldCharType="separate"/>
      </w:r>
      <w:r>
        <w:rPr>
          <w:b w:val="0"/>
          <w:bCs w:val="0"/>
        </w:rPr>
        <w:t>- 85 -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AF423CA">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_Toc3331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第二节 </w:t>
      </w:r>
      <w:r>
        <w:rPr>
          <w:rFonts w:hint="eastAsia" w:ascii="楷体_GB2312" w:hAnsi="楷体_GB2312" w:eastAsia="楷体_GB2312" w:cs="楷体_GB2312"/>
          <w:b w:val="0"/>
          <w:bCs w:val="0"/>
          <w:szCs w:val="32"/>
          <w:highlight w:val="none"/>
          <w:lang w:val="en-US" w:eastAsia="zh-CN"/>
        </w:rPr>
        <w:t>办好人民满意的教育</w:t>
      </w:r>
      <w:r>
        <w:rPr>
          <w:b w:val="0"/>
          <w:bCs w:val="0"/>
        </w:rPr>
        <w:tab/>
      </w:r>
      <w:r>
        <w:rPr>
          <w:b w:val="0"/>
          <w:bCs w:val="0"/>
        </w:rPr>
        <w:fldChar w:fldCharType="begin"/>
      </w:r>
      <w:r>
        <w:rPr>
          <w:b w:val="0"/>
          <w:bCs w:val="0"/>
        </w:rPr>
        <w:instrText xml:space="preserve"> PAGEREF _Toc3331 \h </w:instrText>
      </w:r>
      <w:r>
        <w:rPr>
          <w:b w:val="0"/>
          <w:bCs w:val="0"/>
        </w:rPr>
        <w:fldChar w:fldCharType="separate"/>
      </w:r>
      <w:r>
        <w:rPr>
          <w:b w:val="0"/>
          <w:bCs w:val="0"/>
        </w:rPr>
        <w:t>- 86 -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DC727E1">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_Toc7620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szCs w:val="32"/>
          <w:highlight w:val="none"/>
          <w:lang w:val="en-US" w:eastAsia="zh-CN"/>
        </w:rPr>
        <w:t xml:space="preserve">第三节 </w:t>
      </w:r>
      <w:r>
        <w:rPr>
          <w:rFonts w:hint="eastAsia" w:ascii="楷体_GB2312" w:hAnsi="楷体_GB2312" w:eastAsia="楷体_GB2312" w:cs="楷体_GB2312"/>
          <w:b w:val="0"/>
          <w:bCs w:val="0"/>
          <w:szCs w:val="32"/>
          <w:highlight w:val="none"/>
          <w:lang w:val="en-US" w:eastAsia="zh-CN"/>
        </w:rPr>
        <w:t>健全社会保障体系</w:t>
      </w:r>
      <w:r>
        <w:rPr>
          <w:b w:val="0"/>
          <w:bCs w:val="0"/>
        </w:rPr>
        <w:tab/>
      </w:r>
      <w:r>
        <w:rPr>
          <w:b w:val="0"/>
          <w:bCs w:val="0"/>
        </w:rPr>
        <w:fldChar w:fldCharType="begin"/>
      </w:r>
      <w:r>
        <w:rPr>
          <w:b w:val="0"/>
          <w:bCs w:val="0"/>
        </w:rPr>
        <w:instrText xml:space="preserve"> PAGEREF _Toc7620 \h </w:instrText>
      </w:r>
      <w:r>
        <w:rPr>
          <w:b w:val="0"/>
          <w:bCs w:val="0"/>
        </w:rPr>
        <w:fldChar w:fldCharType="separate"/>
      </w:r>
      <w:r>
        <w:rPr>
          <w:b w:val="0"/>
          <w:bCs w:val="0"/>
        </w:rPr>
        <w:t>- 89 -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46B05F8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_Toc4659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第四节 </w:t>
      </w:r>
      <w:r>
        <w:rPr>
          <w:rFonts w:hint="eastAsia" w:ascii="楷体_GB2312" w:hAnsi="楷体_GB2312" w:eastAsia="楷体_GB2312" w:cs="楷体_GB2312"/>
          <w:b w:val="0"/>
          <w:bCs w:val="0"/>
          <w:szCs w:val="32"/>
          <w:highlight w:val="none"/>
          <w:lang w:val="en-US" w:eastAsia="zh-CN"/>
        </w:rPr>
        <w:t>提升全民健康水平</w:t>
      </w:r>
      <w:r>
        <w:rPr>
          <w:b w:val="0"/>
          <w:bCs w:val="0"/>
        </w:rPr>
        <w:tab/>
      </w:r>
      <w:r>
        <w:rPr>
          <w:b w:val="0"/>
          <w:bCs w:val="0"/>
        </w:rPr>
        <w:fldChar w:fldCharType="begin"/>
      </w:r>
      <w:r>
        <w:rPr>
          <w:b w:val="0"/>
          <w:bCs w:val="0"/>
        </w:rPr>
        <w:instrText xml:space="preserve"> PAGEREF _Toc4659 \h </w:instrText>
      </w:r>
      <w:r>
        <w:rPr>
          <w:b w:val="0"/>
          <w:bCs w:val="0"/>
        </w:rPr>
        <w:fldChar w:fldCharType="separate"/>
      </w:r>
      <w:r>
        <w:rPr>
          <w:b w:val="0"/>
          <w:bCs w:val="0"/>
        </w:rPr>
        <w:t>- 90 -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221F696F">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_Toc16261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 xml:space="preserve">第五节 </w:t>
      </w:r>
      <w:r>
        <w:rPr>
          <w:rFonts w:hint="eastAsia" w:ascii="楷体_GB2312" w:hAnsi="楷体_GB2312" w:eastAsia="楷体_GB2312" w:cs="楷体_GB2312"/>
          <w:b w:val="0"/>
          <w:bCs w:val="0"/>
          <w:szCs w:val="32"/>
          <w:highlight w:val="none"/>
          <w:lang w:val="en-US" w:eastAsia="zh-CN"/>
        </w:rPr>
        <w:t>促进人口高质量发展</w:t>
      </w:r>
      <w:r>
        <w:rPr>
          <w:b w:val="0"/>
          <w:bCs w:val="0"/>
        </w:rPr>
        <w:tab/>
      </w:r>
      <w:r>
        <w:rPr>
          <w:b w:val="0"/>
          <w:bCs w:val="0"/>
        </w:rPr>
        <w:fldChar w:fldCharType="begin"/>
      </w:r>
      <w:r>
        <w:rPr>
          <w:b w:val="0"/>
          <w:bCs w:val="0"/>
        </w:rPr>
        <w:instrText xml:space="preserve"> PAGEREF _Toc16261 \h </w:instrText>
      </w:r>
      <w:r>
        <w:rPr>
          <w:b w:val="0"/>
          <w:bCs w:val="0"/>
        </w:rPr>
        <w:fldChar w:fldCharType="separate"/>
      </w:r>
      <w:r>
        <w:rPr>
          <w:b w:val="0"/>
          <w:bCs w:val="0"/>
        </w:rPr>
        <w:t>- 92 -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E92403C">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_Toc23454 </w:instrText>
      </w:r>
      <w:r>
        <w:rPr>
          <w:rFonts w:hint="eastAsia" w:ascii="仿宋_GB2312" w:hAnsi="仿宋_GB2312" w:eastAsia="仿宋_GB2312" w:cs="仿宋_GB2312"/>
          <w:b w:val="0"/>
          <w:bCs w:val="0"/>
          <w:szCs w:val="28"/>
          <w:highlight w:val="none"/>
        </w:rPr>
        <w:fldChar w:fldCharType="separate"/>
      </w:r>
      <w:r>
        <w:rPr>
          <w:rFonts w:hint="eastAsia" w:cs="Times New Roman" w:asciiTheme="minorAscii" w:hAnsiTheme="minorAscii"/>
          <w:b w:val="0"/>
          <w:bCs w:val="0"/>
          <w:szCs w:val="32"/>
          <w:highlight w:val="none"/>
          <w:lang w:val="en-US" w:eastAsia="zh-CN"/>
        </w:rPr>
        <w:t>第十三章 推进生态绿色发展，建设美丽宾阳</w:t>
      </w:r>
      <w:r>
        <w:rPr>
          <w:b w:val="0"/>
          <w:bCs w:val="0"/>
        </w:rPr>
        <w:tab/>
      </w:r>
      <w:r>
        <w:rPr>
          <w:b w:val="0"/>
          <w:bCs w:val="0"/>
        </w:rPr>
        <w:fldChar w:fldCharType="begin"/>
      </w:r>
      <w:r>
        <w:rPr>
          <w:b w:val="0"/>
          <w:bCs w:val="0"/>
        </w:rPr>
        <w:instrText xml:space="preserve"> PAGEREF _Toc23454 \h </w:instrText>
      </w:r>
      <w:r>
        <w:rPr>
          <w:b w:val="0"/>
          <w:bCs w:val="0"/>
        </w:rPr>
        <w:fldChar w:fldCharType="separate"/>
      </w:r>
      <w:r>
        <w:rPr>
          <w:b w:val="0"/>
          <w:bCs w:val="0"/>
        </w:rPr>
        <w:t>- 94 -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49C596C3">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_Toc3926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第一节 持续深入污染防治攻坚和生态系统优化</w:t>
      </w:r>
      <w:r>
        <w:rPr>
          <w:b w:val="0"/>
          <w:bCs w:val="0"/>
        </w:rPr>
        <w:tab/>
      </w:r>
      <w:r>
        <w:rPr>
          <w:b w:val="0"/>
          <w:bCs w:val="0"/>
        </w:rPr>
        <w:fldChar w:fldCharType="begin"/>
      </w:r>
      <w:r>
        <w:rPr>
          <w:b w:val="0"/>
          <w:bCs w:val="0"/>
        </w:rPr>
        <w:instrText xml:space="preserve"> PAGEREF _Toc3926 \h </w:instrText>
      </w:r>
      <w:r>
        <w:rPr>
          <w:b w:val="0"/>
          <w:bCs w:val="0"/>
        </w:rPr>
        <w:fldChar w:fldCharType="separate"/>
      </w:r>
      <w:r>
        <w:rPr>
          <w:b w:val="0"/>
          <w:bCs w:val="0"/>
        </w:rPr>
        <w:t>- 94 -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0F24709E">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_Toc16278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第二节 加快建设新型能源体系</w:t>
      </w:r>
      <w:r>
        <w:rPr>
          <w:b w:val="0"/>
          <w:bCs w:val="0"/>
        </w:rPr>
        <w:tab/>
      </w:r>
      <w:r>
        <w:rPr>
          <w:b w:val="0"/>
          <w:bCs w:val="0"/>
        </w:rPr>
        <w:fldChar w:fldCharType="begin"/>
      </w:r>
      <w:r>
        <w:rPr>
          <w:b w:val="0"/>
          <w:bCs w:val="0"/>
        </w:rPr>
        <w:instrText xml:space="preserve"> PAGEREF _Toc16278 \h </w:instrText>
      </w:r>
      <w:r>
        <w:rPr>
          <w:b w:val="0"/>
          <w:bCs w:val="0"/>
        </w:rPr>
        <w:fldChar w:fldCharType="separate"/>
      </w:r>
      <w:r>
        <w:rPr>
          <w:b w:val="0"/>
          <w:bCs w:val="0"/>
        </w:rPr>
        <w:t>- 96 -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B69E961">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_Toc25161 </w:instrText>
      </w:r>
      <w:r>
        <w:rPr>
          <w:rFonts w:hint="eastAsia" w:ascii="仿宋_GB2312" w:hAnsi="仿宋_GB2312" w:eastAsia="仿宋_GB2312" w:cs="仿宋_GB2312"/>
          <w:b w:val="0"/>
          <w:bCs w:val="0"/>
          <w:szCs w:val="28"/>
          <w:highlight w:val="none"/>
        </w:rPr>
        <w:fldChar w:fldCharType="separate"/>
      </w:r>
      <w:r>
        <w:rPr>
          <w:rFonts w:hint="eastAsia"/>
          <w:b w:val="0"/>
          <w:bCs w:val="0"/>
          <w:highlight w:val="none"/>
          <w:lang w:val="en-US" w:eastAsia="zh-CN"/>
        </w:rPr>
        <w:t>第三节 加快形成绿色生产生活方式</w:t>
      </w:r>
      <w:r>
        <w:rPr>
          <w:b w:val="0"/>
          <w:bCs w:val="0"/>
        </w:rPr>
        <w:tab/>
      </w:r>
      <w:r>
        <w:rPr>
          <w:b w:val="0"/>
          <w:bCs w:val="0"/>
        </w:rPr>
        <w:fldChar w:fldCharType="begin"/>
      </w:r>
      <w:r>
        <w:rPr>
          <w:b w:val="0"/>
          <w:bCs w:val="0"/>
        </w:rPr>
        <w:instrText xml:space="preserve"> PAGEREF _Toc25161 \h </w:instrText>
      </w:r>
      <w:r>
        <w:rPr>
          <w:b w:val="0"/>
          <w:bCs w:val="0"/>
        </w:rPr>
        <w:fldChar w:fldCharType="separate"/>
      </w:r>
      <w:r>
        <w:rPr>
          <w:b w:val="0"/>
          <w:bCs w:val="0"/>
        </w:rPr>
        <w:t>- 98 -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8A7F986">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_Toc24263 </w:instrText>
      </w:r>
      <w:r>
        <w:rPr>
          <w:rFonts w:hint="eastAsia" w:ascii="仿宋_GB2312" w:hAnsi="仿宋_GB2312" w:eastAsia="仿宋_GB2312" w:cs="仿宋_GB2312"/>
          <w:b w:val="0"/>
          <w:bCs w:val="0"/>
          <w:szCs w:val="28"/>
          <w:highlight w:val="none"/>
        </w:rPr>
        <w:fldChar w:fldCharType="separate"/>
      </w:r>
      <w:r>
        <w:rPr>
          <w:rFonts w:hint="eastAsia" w:ascii="黑体" w:hAnsi="黑体" w:eastAsia="黑体" w:cs="黑体"/>
          <w:b w:val="0"/>
          <w:bCs w:val="0"/>
          <w:szCs w:val="32"/>
          <w:highlight w:val="none"/>
          <w:lang w:val="en-US" w:eastAsia="zh-CN"/>
        </w:rPr>
        <w:t>第十四章 统筹发展和安全，建设更高水平平安宾阳</w:t>
      </w:r>
      <w:r>
        <w:rPr>
          <w:b w:val="0"/>
          <w:bCs w:val="0"/>
        </w:rPr>
        <w:tab/>
      </w:r>
      <w:r>
        <w:rPr>
          <w:b w:val="0"/>
          <w:bCs w:val="0"/>
        </w:rPr>
        <w:fldChar w:fldCharType="begin"/>
      </w:r>
      <w:r>
        <w:rPr>
          <w:b w:val="0"/>
          <w:bCs w:val="0"/>
        </w:rPr>
        <w:instrText xml:space="preserve"> PAGEREF _Toc24263 \h </w:instrText>
      </w:r>
      <w:r>
        <w:rPr>
          <w:b w:val="0"/>
          <w:bCs w:val="0"/>
        </w:rPr>
        <w:fldChar w:fldCharType="separate"/>
      </w:r>
      <w:r>
        <w:rPr>
          <w:b w:val="0"/>
          <w:bCs w:val="0"/>
        </w:rPr>
        <w:t>- 100 -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093BED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_Toc32442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第一节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坚决维护县域安全稳定</w:t>
      </w:r>
      <w:r>
        <w:rPr>
          <w:b w:val="0"/>
          <w:bCs w:val="0"/>
        </w:rPr>
        <w:tab/>
      </w:r>
      <w:r>
        <w:rPr>
          <w:b w:val="0"/>
          <w:bCs w:val="0"/>
        </w:rPr>
        <w:fldChar w:fldCharType="begin"/>
      </w:r>
      <w:r>
        <w:rPr>
          <w:b w:val="0"/>
          <w:bCs w:val="0"/>
        </w:rPr>
        <w:instrText xml:space="preserve"> PAGEREF _Toc32442 \h </w:instrText>
      </w:r>
      <w:r>
        <w:rPr>
          <w:b w:val="0"/>
          <w:bCs w:val="0"/>
        </w:rPr>
        <w:fldChar w:fldCharType="separate"/>
      </w:r>
      <w:r>
        <w:rPr>
          <w:b w:val="0"/>
          <w:bCs w:val="0"/>
        </w:rPr>
        <w:t>- 100 -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2A4B359">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_Toc21776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第二节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稳妥化解县域突出风险</w:t>
      </w:r>
      <w:r>
        <w:rPr>
          <w:b w:val="0"/>
          <w:bCs w:val="0"/>
        </w:rPr>
        <w:tab/>
      </w:r>
      <w:r>
        <w:rPr>
          <w:b w:val="0"/>
          <w:bCs w:val="0"/>
        </w:rPr>
        <w:fldChar w:fldCharType="begin"/>
      </w:r>
      <w:r>
        <w:rPr>
          <w:b w:val="0"/>
          <w:bCs w:val="0"/>
        </w:rPr>
        <w:instrText xml:space="preserve"> PAGEREF _Toc21776 \h </w:instrText>
      </w:r>
      <w:r>
        <w:rPr>
          <w:b w:val="0"/>
          <w:bCs w:val="0"/>
        </w:rPr>
        <w:fldChar w:fldCharType="separate"/>
      </w:r>
      <w:r>
        <w:rPr>
          <w:b w:val="0"/>
          <w:bCs w:val="0"/>
        </w:rPr>
        <w:t>- 101 -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F51E31D">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_Toc3119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第三节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提升公共安全治理水平</w:t>
      </w:r>
      <w:r>
        <w:rPr>
          <w:b w:val="0"/>
          <w:bCs w:val="0"/>
        </w:rPr>
        <w:tab/>
      </w:r>
      <w:r>
        <w:rPr>
          <w:b w:val="0"/>
          <w:bCs w:val="0"/>
        </w:rPr>
        <w:fldChar w:fldCharType="begin"/>
      </w:r>
      <w:r>
        <w:rPr>
          <w:b w:val="0"/>
          <w:bCs w:val="0"/>
        </w:rPr>
        <w:instrText xml:space="preserve"> PAGEREF _Toc3119 \h </w:instrText>
      </w:r>
      <w:r>
        <w:rPr>
          <w:b w:val="0"/>
          <w:bCs w:val="0"/>
        </w:rPr>
        <w:fldChar w:fldCharType="separate"/>
      </w:r>
      <w:r>
        <w:rPr>
          <w:b w:val="0"/>
          <w:bCs w:val="0"/>
        </w:rPr>
        <w:t>- 102 -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EBD226E">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_Toc25181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第四节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健全现</w:t>
      </w:r>
      <w:r>
        <w:rPr>
          <w:rFonts w:hint="eastAsia" w:ascii="楷体_GB2312" w:hAnsi="楷体_GB2312" w:cs="楷体_GB2312"/>
          <w:b w:val="0"/>
          <w:bCs w:val="0"/>
          <w:szCs w:val="32"/>
          <w:highlight w:val="none"/>
          <w:lang w:val="en-US" w:eastAsia="zh-CN"/>
        </w:rPr>
        <w:t>代化</w:t>
      </w:r>
      <w:r>
        <w:rPr>
          <w:rFonts w:hint="eastAsia" w:ascii="楷体_GB2312" w:hAnsi="楷体_GB2312" w:eastAsia="楷体_GB2312" w:cs="楷体_GB2312"/>
          <w:b w:val="0"/>
          <w:bCs w:val="0"/>
          <w:szCs w:val="32"/>
          <w:highlight w:val="none"/>
          <w:lang w:val="en-US" w:eastAsia="zh-CN"/>
        </w:rPr>
        <w:t>基层治理体系</w:t>
      </w:r>
      <w:r>
        <w:rPr>
          <w:b w:val="0"/>
          <w:bCs w:val="0"/>
        </w:rPr>
        <w:tab/>
      </w:r>
      <w:r>
        <w:rPr>
          <w:b w:val="0"/>
          <w:bCs w:val="0"/>
        </w:rPr>
        <w:fldChar w:fldCharType="begin"/>
      </w:r>
      <w:r>
        <w:rPr>
          <w:b w:val="0"/>
          <w:bCs w:val="0"/>
        </w:rPr>
        <w:instrText xml:space="preserve"> PAGEREF _Toc25181 \h </w:instrText>
      </w:r>
      <w:r>
        <w:rPr>
          <w:b w:val="0"/>
          <w:bCs w:val="0"/>
        </w:rPr>
        <w:fldChar w:fldCharType="separate"/>
      </w:r>
      <w:r>
        <w:rPr>
          <w:b w:val="0"/>
          <w:bCs w:val="0"/>
        </w:rPr>
        <w:t>- 103 -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D64E8D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_Toc12131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第五节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全面推进</w:t>
      </w:r>
      <w:r>
        <w:rPr>
          <w:rFonts w:hint="eastAsia" w:ascii="楷体" w:hAnsi="楷体" w:eastAsia="楷体" w:cs="楷体"/>
          <w:b w:val="0"/>
          <w:bCs w:val="0"/>
          <w:i w:val="0"/>
          <w:iCs w:val="0"/>
          <w:caps w:val="0"/>
          <w:spacing w:val="0"/>
          <w:szCs w:val="32"/>
          <w:highlight w:val="none"/>
          <w:shd w:val="clear" w:fill="FFFFFF"/>
        </w:rPr>
        <w:t>社会主义民主</w:t>
      </w:r>
      <w:r>
        <w:rPr>
          <w:rFonts w:hint="eastAsia" w:ascii="楷体_GB2312" w:hAnsi="楷体_GB2312" w:eastAsia="楷体_GB2312" w:cs="楷体_GB2312"/>
          <w:b w:val="0"/>
          <w:bCs w:val="0"/>
          <w:szCs w:val="32"/>
          <w:highlight w:val="none"/>
          <w:lang w:val="en-US" w:eastAsia="zh-CN"/>
        </w:rPr>
        <w:t>法治建设</w:t>
      </w:r>
      <w:r>
        <w:rPr>
          <w:b w:val="0"/>
          <w:bCs w:val="0"/>
        </w:rPr>
        <w:tab/>
      </w:r>
      <w:r>
        <w:rPr>
          <w:b w:val="0"/>
          <w:bCs w:val="0"/>
        </w:rPr>
        <w:fldChar w:fldCharType="begin"/>
      </w:r>
      <w:r>
        <w:rPr>
          <w:b w:val="0"/>
          <w:bCs w:val="0"/>
        </w:rPr>
        <w:instrText xml:space="preserve"> PAGEREF _Toc12131 \h </w:instrText>
      </w:r>
      <w:r>
        <w:rPr>
          <w:b w:val="0"/>
          <w:bCs w:val="0"/>
        </w:rPr>
        <w:fldChar w:fldCharType="separate"/>
      </w:r>
      <w:r>
        <w:rPr>
          <w:b w:val="0"/>
          <w:bCs w:val="0"/>
        </w:rPr>
        <w:t>- 104 -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F66D33A">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_Toc21267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w:t>
      </w:r>
      <w:r>
        <w:rPr>
          <w:rFonts w:hint="eastAsia" w:cs="Times New Roman"/>
          <w:b w:val="0"/>
          <w:bCs w:val="0"/>
          <w:szCs w:val="32"/>
          <w:highlight w:val="none"/>
          <w:lang w:val="en-US" w:eastAsia="zh-CN"/>
        </w:rPr>
        <w:t>六</w:t>
      </w:r>
      <w:r>
        <w:rPr>
          <w:rFonts w:hint="eastAsia" w:cs="Times New Roman"/>
          <w:b w:val="0"/>
          <w:bCs w:val="0"/>
          <w:szCs w:val="32"/>
          <w:highlight w:val="none"/>
          <w:lang w:eastAsia="zh-CN"/>
        </w:rPr>
        <w:t>节</w:t>
      </w:r>
      <w:r>
        <w:rPr>
          <w:rFonts w:hint="eastAsia" w:cs="Times New Roman"/>
          <w:b w:val="0"/>
          <w:bCs w:val="0"/>
          <w:szCs w:val="32"/>
          <w:highlight w:val="none"/>
          <w:lang w:val="en-US" w:eastAsia="zh-CN"/>
        </w:rPr>
        <w:t xml:space="preserve"> </w:t>
      </w:r>
      <w:r>
        <w:rPr>
          <w:rFonts w:hint="eastAsia" w:ascii="楷体_GB2312" w:hAnsi="楷体_GB2312" w:eastAsia="楷体_GB2312" w:cs="楷体_GB2312"/>
          <w:b w:val="0"/>
          <w:bCs w:val="0"/>
          <w:szCs w:val="32"/>
          <w:highlight w:val="none"/>
          <w:lang w:val="en-US" w:eastAsia="zh-CN"/>
        </w:rPr>
        <w:t>提升国防动员能力</w:t>
      </w:r>
      <w:r>
        <w:rPr>
          <w:b w:val="0"/>
          <w:bCs w:val="0"/>
        </w:rPr>
        <w:tab/>
      </w:r>
      <w:r>
        <w:rPr>
          <w:b w:val="0"/>
          <w:bCs w:val="0"/>
        </w:rPr>
        <w:fldChar w:fldCharType="begin"/>
      </w:r>
      <w:r>
        <w:rPr>
          <w:b w:val="0"/>
          <w:bCs w:val="0"/>
        </w:rPr>
        <w:instrText xml:space="preserve"> PAGEREF _Toc21267 \h </w:instrText>
      </w:r>
      <w:r>
        <w:rPr>
          <w:b w:val="0"/>
          <w:bCs w:val="0"/>
        </w:rPr>
        <w:fldChar w:fldCharType="separate"/>
      </w:r>
      <w:r>
        <w:rPr>
          <w:b w:val="0"/>
          <w:bCs w:val="0"/>
        </w:rPr>
        <w:t>- 106 -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B3C3ACB">
      <w:pPr>
        <w:pStyle w:val="10"/>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_Toc7022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val="en-US" w:eastAsia="zh-CN"/>
        </w:rPr>
        <w:t>第十五章 保障措施</w:t>
      </w:r>
      <w:r>
        <w:rPr>
          <w:b w:val="0"/>
          <w:bCs w:val="0"/>
        </w:rPr>
        <w:tab/>
      </w:r>
      <w:r>
        <w:rPr>
          <w:b w:val="0"/>
          <w:bCs w:val="0"/>
        </w:rPr>
        <w:fldChar w:fldCharType="begin"/>
      </w:r>
      <w:r>
        <w:rPr>
          <w:b w:val="0"/>
          <w:bCs w:val="0"/>
        </w:rPr>
        <w:instrText xml:space="preserve"> PAGEREF _Toc7022 \h </w:instrText>
      </w:r>
      <w:r>
        <w:rPr>
          <w:b w:val="0"/>
          <w:bCs w:val="0"/>
        </w:rPr>
        <w:fldChar w:fldCharType="separate"/>
      </w:r>
      <w:r>
        <w:rPr>
          <w:b w:val="0"/>
          <w:bCs w:val="0"/>
        </w:rPr>
        <w:t>- 108 -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379BD053">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_Toc27912 </w:instrText>
      </w:r>
      <w:r>
        <w:rPr>
          <w:rFonts w:hint="eastAsia" w:ascii="仿宋_GB2312" w:hAnsi="仿宋_GB2312" w:eastAsia="仿宋_GB2312" w:cs="仿宋_GB2312"/>
          <w:b w:val="0"/>
          <w:bCs w:val="0"/>
          <w:szCs w:val="28"/>
          <w:highlight w:val="none"/>
        </w:rPr>
        <w:fldChar w:fldCharType="separate"/>
      </w:r>
      <w:r>
        <w:rPr>
          <w:rFonts w:hint="eastAsia" w:cs="Times New Roman"/>
          <w:b w:val="0"/>
          <w:bCs w:val="0"/>
          <w:szCs w:val="32"/>
          <w:highlight w:val="none"/>
          <w:lang w:eastAsia="zh-CN"/>
        </w:rPr>
        <w:t>第一节</w:t>
      </w:r>
      <w:r>
        <w:rPr>
          <w:rFonts w:hint="eastAsia" w:cs="Times New Roman"/>
          <w:b w:val="0"/>
          <w:bCs w:val="0"/>
          <w:szCs w:val="32"/>
          <w:highlight w:val="none"/>
          <w:lang w:val="en-US" w:eastAsia="zh-CN"/>
        </w:rPr>
        <w:t xml:space="preserve"> </w:t>
      </w:r>
      <w:r>
        <w:rPr>
          <w:rFonts w:hint="eastAsia" w:ascii="仿宋_GB2312" w:hAnsi="仿宋_GB2312" w:cs="Times New Roman"/>
          <w:b w:val="0"/>
          <w:bCs w:val="0"/>
          <w:kern w:val="0"/>
          <w:szCs w:val="32"/>
          <w:highlight w:val="none"/>
          <w:lang w:eastAsia="zh-CN" w:bidi="ar"/>
        </w:rPr>
        <w:t>坚决维护党中央集中统一领导</w:t>
      </w:r>
      <w:r>
        <w:rPr>
          <w:b w:val="0"/>
          <w:bCs w:val="0"/>
        </w:rPr>
        <w:tab/>
      </w:r>
      <w:r>
        <w:rPr>
          <w:b w:val="0"/>
          <w:bCs w:val="0"/>
        </w:rPr>
        <w:fldChar w:fldCharType="begin"/>
      </w:r>
      <w:r>
        <w:rPr>
          <w:b w:val="0"/>
          <w:bCs w:val="0"/>
        </w:rPr>
        <w:instrText xml:space="preserve"> PAGEREF _Toc27912 \h </w:instrText>
      </w:r>
      <w:r>
        <w:rPr>
          <w:b w:val="0"/>
          <w:bCs w:val="0"/>
        </w:rPr>
        <w:fldChar w:fldCharType="separate"/>
      </w:r>
      <w:r>
        <w:rPr>
          <w:b w:val="0"/>
          <w:bCs w:val="0"/>
        </w:rPr>
        <w:t>- 108 -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5F3CB6C">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_Toc26985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0"/>
          <w:szCs w:val="32"/>
          <w:highlight w:val="none"/>
          <w:lang w:eastAsia="zh-CN" w:bidi="ar"/>
        </w:rPr>
        <w:t>第</w:t>
      </w:r>
      <w:r>
        <w:rPr>
          <w:rFonts w:hint="eastAsia" w:ascii="仿宋_GB2312" w:hAnsi="仿宋_GB2312" w:cs="Times New Roman"/>
          <w:b w:val="0"/>
          <w:bCs w:val="0"/>
          <w:kern w:val="0"/>
          <w:szCs w:val="32"/>
          <w:highlight w:val="none"/>
          <w:lang w:val="en-US" w:eastAsia="zh-CN" w:bidi="ar"/>
        </w:rPr>
        <w:t>二</w:t>
      </w:r>
      <w:r>
        <w:rPr>
          <w:rFonts w:hint="eastAsia" w:ascii="仿宋_GB2312" w:hAnsi="仿宋_GB2312" w:cs="Times New Roman"/>
          <w:b w:val="0"/>
          <w:bCs w:val="0"/>
          <w:kern w:val="0"/>
          <w:szCs w:val="32"/>
          <w:highlight w:val="none"/>
          <w:lang w:eastAsia="zh-CN" w:bidi="ar"/>
        </w:rPr>
        <w:t>节</w:t>
      </w:r>
      <w:r>
        <w:rPr>
          <w:rFonts w:hint="eastAsia" w:ascii="仿宋_GB2312" w:hAnsi="仿宋_GB2312" w:cs="Times New Roman"/>
          <w:b w:val="0"/>
          <w:bCs w:val="0"/>
          <w:kern w:val="0"/>
          <w:szCs w:val="32"/>
          <w:highlight w:val="none"/>
          <w:lang w:val="en-US" w:eastAsia="zh-CN" w:bidi="ar"/>
        </w:rPr>
        <w:t xml:space="preserve"> </w:t>
      </w:r>
      <w:r>
        <w:rPr>
          <w:rFonts w:hint="eastAsia" w:ascii="仿宋_GB2312" w:hAnsi="仿宋_GB2312" w:cs="Times New Roman"/>
          <w:b w:val="0"/>
          <w:bCs w:val="0"/>
          <w:kern w:val="0"/>
          <w:szCs w:val="32"/>
          <w:highlight w:val="none"/>
          <w:lang w:eastAsia="zh-CN" w:bidi="ar"/>
        </w:rPr>
        <w:t>建设高素质专业化干部队伍</w:t>
      </w:r>
      <w:r>
        <w:rPr>
          <w:b w:val="0"/>
          <w:bCs w:val="0"/>
        </w:rPr>
        <w:tab/>
      </w:r>
      <w:r>
        <w:rPr>
          <w:b w:val="0"/>
          <w:bCs w:val="0"/>
        </w:rPr>
        <w:fldChar w:fldCharType="begin"/>
      </w:r>
      <w:r>
        <w:rPr>
          <w:b w:val="0"/>
          <w:bCs w:val="0"/>
        </w:rPr>
        <w:instrText xml:space="preserve"> PAGEREF _Toc26985 \h </w:instrText>
      </w:r>
      <w:r>
        <w:rPr>
          <w:b w:val="0"/>
          <w:bCs w:val="0"/>
        </w:rPr>
        <w:fldChar w:fldCharType="separate"/>
      </w:r>
      <w:r>
        <w:rPr>
          <w:b w:val="0"/>
          <w:bCs w:val="0"/>
        </w:rPr>
        <w:t>- 109 -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6BED71BF">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_Toc3365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0"/>
          <w:szCs w:val="32"/>
          <w:highlight w:val="none"/>
          <w:lang w:eastAsia="zh-CN" w:bidi="ar"/>
        </w:rPr>
        <w:t>第</w:t>
      </w:r>
      <w:r>
        <w:rPr>
          <w:rFonts w:hint="eastAsia" w:ascii="仿宋_GB2312" w:hAnsi="仿宋_GB2312" w:cs="Times New Roman"/>
          <w:b w:val="0"/>
          <w:bCs w:val="0"/>
          <w:kern w:val="0"/>
          <w:szCs w:val="32"/>
          <w:highlight w:val="none"/>
          <w:lang w:val="en-US" w:eastAsia="zh-CN" w:bidi="ar"/>
        </w:rPr>
        <w:t>三</w:t>
      </w:r>
      <w:r>
        <w:rPr>
          <w:rFonts w:hint="eastAsia" w:ascii="仿宋_GB2312" w:hAnsi="仿宋_GB2312" w:cs="Times New Roman"/>
          <w:b w:val="0"/>
          <w:bCs w:val="0"/>
          <w:kern w:val="0"/>
          <w:szCs w:val="32"/>
          <w:highlight w:val="none"/>
          <w:lang w:eastAsia="zh-CN" w:bidi="ar"/>
        </w:rPr>
        <w:t>节</w:t>
      </w:r>
      <w:r>
        <w:rPr>
          <w:rFonts w:hint="eastAsia" w:ascii="仿宋_GB2312" w:hAnsi="仿宋_GB2312" w:cs="Times New Roman"/>
          <w:b w:val="0"/>
          <w:bCs w:val="0"/>
          <w:kern w:val="0"/>
          <w:szCs w:val="32"/>
          <w:highlight w:val="none"/>
          <w:lang w:val="en-US" w:eastAsia="zh-CN" w:bidi="ar"/>
        </w:rPr>
        <w:t xml:space="preserve"> </w:t>
      </w:r>
      <w:r>
        <w:rPr>
          <w:rFonts w:hint="eastAsia" w:ascii="仿宋_GB2312" w:hAnsi="仿宋_GB2312" w:cs="Times New Roman"/>
          <w:b w:val="0"/>
          <w:bCs w:val="0"/>
          <w:kern w:val="0"/>
          <w:szCs w:val="32"/>
          <w:highlight w:val="none"/>
          <w:lang w:eastAsia="zh-CN" w:bidi="ar"/>
        </w:rPr>
        <w:t>健全规划组织体系</w:t>
      </w:r>
      <w:r>
        <w:rPr>
          <w:b w:val="0"/>
          <w:bCs w:val="0"/>
        </w:rPr>
        <w:tab/>
      </w:r>
      <w:r>
        <w:rPr>
          <w:b w:val="0"/>
          <w:bCs w:val="0"/>
        </w:rPr>
        <w:fldChar w:fldCharType="begin"/>
      </w:r>
      <w:r>
        <w:rPr>
          <w:b w:val="0"/>
          <w:bCs w:val="0"/>
        </w:rPr>
        <w:instrText xml:space="preserve"> PAGEREF _Toc3365 \h </w:instrText>
      </w:r>
      <w:r>
        <w:rPr>
          <w:b w:val="0"/>
          <w:bCs w:val="0"/>
        </w:rPr>
        <w:fldChar w:fldCharType="separate"/>
      </w:r>
      <w:r>
        <w:rPr>
          <w:b w:val="0"/>
          <w:bCs w:val="0"/>
        </w:rPr>
        <w:t>- 109 -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14333B6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_Toc20996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0"/>
          <w:szCs w:val="32"/>
          <w:highlight w:val="none"/>
          <w:lang w:eastAsia="zh-CN" w:bidi="ar"/>
        </w:rPr>
        <w:t>第</w:t>
      </w:r>
      <w:r>
        <w:rPr>
          <w:rFonts w:hint="eastAsia" w:ascii="仿宋_GB2312" w:hAnsi="仿宋_GB2312" w:cs="Times New Roman"/>
          <w:b w:val="0"/>
          <w:bCs w:val="0"/>
          <w:kern w:val="0"/>
          <w:szCs w:val="32"/>
          <w:highlight w:val="none"/>
          <w:lang w:val="en-US" w:eastAsia="zh-CN" w:bidi="ar"/>
        </w:rPr>
        <w:t>四</w:t>
      </w:r>
      <w:r>
        <w:rPr>
          <w:rFonts w:hint="eastAsia" w:ascii="仿宋_GB2312" w:hAnsi="仿宋_GB2312" w:cs="Times New Roman"/>
          <w:b w:val="0"/>
          <w:bCs w:val="0"/>
          <w:kern w:val="0"/>
          <w:szCs w:val="32"/>
          <w:highlight w:val="none"/>
          <w:lang w:eastAsia="zh-CN" w:bidi="ar"/>
        </w:rPr>
        <w:t>节</w:t>
      </w:r>
      <w:r>
        <w:rPr>
          <w:rFonts w:hint="eastAsia" w:ascii="仿宋_GB2312" w:hAnsi="仿宋_GB2312" w:cs="Times New Roman"/>
          <w:b w:val="0"/>
          <w:bCs w:val="0"/>
          <w:kern w:val="0"/>
          <w:szCs w:val="32"/>
          <w:highlight w:val="none"/>
          <w:lang w:val="en-US" w:eastAsia="zh-CN" w:bidi="ar"/>
        </w:rPr>
        <w:t xml:space="preserve"> </w:t>
      </w:r>
      <w:r>
        <w:rPr>
          <w:rFonts w:hint="eastAsia" w:ascii="仿宋_GB2312" w:hAnsi="仿宋_GB2312" w:cs="Times New Roman"/>
          <w:b w:val="0"/>
          <w:bCs w:val="0"/>
          <w:kern w:val="0"/>
          <w:szCs w:val="32"/>
          <w:highlight w:val="none"/>
          <w:lang w:eastAsia="zh-CN" w:bidi="ar"/>
        </w:rPr>
        <w:t>完善规划落实机制</w:t>
      </w:r>
      <w:r>
        <w:rPr>
          <w:b w:val="0"/>
          <w:bCs w:val="0"/>
        </w:rPr>
        <w:tab/>
      </w:r>
      <w:r>
        <w:rPr>
          <w:b w:val="0"/>
          <w:bCs w:val="0"/>
        </w:rPr>
        <w:fldChar w:fldCharType="begin"/>
      </w:r>
      <w:r>
        <w:rPr>
          <w:b w:val="0"/>
          <w:bCs w:val="0"/>
        </w:rPr>
        <w:instrText xml:space="preserve"> PAGEREF _Toc20996 \h </w:instrText>
      </w:r>
      <w:r>
        <w:rPr>
          <w:b w:val="0"/>
          <w:bCs w:val="0"/>
        </w:rPr>
        <w:fldChar w:fldCharType="separate"/>
      </w:r>
      <w:r>
        <w:rPr>
          <w:b w:val="0"/>
          <w:bCs w:val="0"/>
        </w:rPr>
        <w:t>- 110 -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21887308">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_Toc17182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0"/>
          <w:szCs w:val="32"/>
          <w:highlight w:val="none"/>
          <w:lang w:eastAsia="zh-CN" w:bidi="ar"/>
        </w:rPr>
        <w:t>第</w:t>
      </w:r>
      <w:r>
        <w:rPr>
          <w:rFonts w:hint="eastAsia" w:ascii="仿宋_GB2312" w:hAnsi="仿宋_GB2312" w:cs="Times New Roman"/>
          <w:b w:val="0"/>
          <w:bCs w:val="0"/>
          <w:kern w:val="0"/>
          <w:szCs w:val="32"/>
          <w:highlight w:val="none"/>
          <w:lang w:val="en-US" w:eastAsia="zh-CN" w:bidi="ar"/>
        </w:rPr>
        <w:t>五</w:t>
      </w:r>
      <w:r>
        <w:rPr>
          <w:rFonts w:hint="eastAsia" w:ascii="仿宋_GB2312" w:hAnsi="仿宋_GB2312" w:cs="Times New Roman"/>
          <w:b w:val="0"/>
          <w:bCs w:val="0"/>
          <w:kern w:val="0"/>
          <w:szCs w:val="32"/>
          <w:highlight w:val="none"/>
          <w:lang w:eastAsia="zh-CN" w:bidi="ar"/>
        </w:rPr>
        <w:t>节</w:t>
      </w:r>
      <w:r>
        <w:rPr>
          <w:rFonts w:hint="eastAsia" w:ascii="仿宋_GB2312" w:hAnsi="仿宋_GB2312" w:cs="Times New Roman"/>
          <w:b w:val="0"/>
          <w:bCs w:val="0"/>
          <w:kern w:val="0"/>
          <w:szCs w:val="32"/>
          <w:highlight w:val="none"/>
          <w:lang w:val="en-US" w:eastAsia="zh-CN" w:bidi="ar"/>
        </w:rPr>
        <w:t xml:space="preserve"> </w:t>
      </w:r>
      <w:r>
        <w:rPr>
          <w:rFonts w:hint="eastAsia" w:ascii="仿宋_GB2312" w:hAnsi="仿宋_GB2312" w:cs="Times New Roman"/>
          <w:b w:val="0"/>
          <w:bCs w:val="0"/>
          <w:kern w:val="0"/>
          <w:szCs w:val="32"/>
          <w:highlight w:val="none"/>
          <w:lang w:eastAsia="zh-CN" w:bidi="ar"/>
        </w:rPr>
        <w:t>动员全社会力量共同奋斗</w:t>
      </w:r>
      <w:r>
        <w:rPr>
          <w:b w:val="0"/>
          <w:bCs w:val="0"/>
        </w:rPr>
        <w:tab/>
      </w:r>
      <w:r>
        <w:rPr>
          <w:b w:val="0"/>
          <w:bCs w:val="0"/>
        </w:rPr>
        <w:fldChar w:fldCharType="begin"/>
      </w:r>
      <w:r>
        <w:rPr>
          <w:b w:val="0"/>
          <w:bCs w:val="0"/>
        </w:rPr>
        <w:instrText xml:space="preserve"> PAGEREF _Toc17182 \h </w:instrText>
      </w:r>
      <w:r>
        <w:rPr>
          <w:b w:val="0"/>
          <w:bCs w:val="0"/>
        </w:rPr>
        <w:fldChar w:fldCharType="separate"/>
      </w:r>
      <w:r>
        <w:rPr>
          <w:b w:val="0"/>
          <w:bCs w:val="0"/>
        </w:rPr>
        <w:t>- 110 -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AEBB0D1">
      <w:pPr>
        <w:pStyle w:val="11"/>
        <w:keepNext w:val="0"/>
        <w:keepLines w:val="0"/>
        <w:pageBreakBefore w:val="0"/>
        <w:widowControl w:val="0"/>
        <w:tabs>
          <w:tab w:val="right" w:leader="dot" w:pos="8845"/>
        </w:tabs>
        <w:kinsoku/>
        <w:wordWrap/>
        <w:overflowPunct/>
        <w:topLinePunct w:val="0"/>
        <w:autoSpaceDE/>
        <w:autoSpaceDN/>
        <w:bidi w:val="0"/>
        <w:adjustRightInd/>
        <w:snapToGrid/>
        <w:ind w:firstLine="0" w:firstLineChars="0"/>
        <w:jc w:val="both"/>
        <w:textAlignment w:val="auto"/>
        <w:rPr>
          <w:b w:val="0"/>
          <w:bCs w:val="0"/>
        </w:rPr>
      </w:pPr>
      <w:r>
        <w:rPr>
          <w:rFonts w:hint="eastAsia" w:ascii="仿宋_GB2312" w:hAnsi="仿宋_GB2312" w:eastAsia="仿宋_GB2312" w:cs="仿宋_GB2312"/>
          <w:b w:val="0"/>
          <w:bCs w:val="0"/>
          <w:color w:val="auto"/>
          <w:szCs w:val="28"/>
          <w:highlight w:val="none"/>
        </w:rPr>
        <w:fldChar w:fldCharType="begin"/>
      </w:r>
      <w:r>
        <w:rPr>
          <w:rFonts w:hint="eastAsia" w:ascii="仿宋_GB2312" w:hAnsi="仿宋_GB2312" w:eastAsia="仿宋_GB2312" w:cs="仿宋_GB2312"/>
          <w:b w:val="0"/>
          <w:bCs w:val="0"/>
          <w:szCs w:val="28"/>
          <w:highlight w:val="none"/>
        </w:rPr>
        <w:instrText xml:space="preserve"> HYPERLINK \l _Toc223 </w:instrText>
      </w:r>
      <w:r>
        <w:rPr>
          <w:rFonts w:hint="eastAsia" w:ascii="仿宋_GB2312" w:hAnsi="仿宋_GB2312" w:eastAsia="仿宋_GB2312" w:cs="仿宋_GB2312"/>
          <w:b w:val="0"/>
          <w:bCs w:val="0"/>
          <w:szCs w:val="28"/>
          <w:highlight w:val="none"/>
        </w:rPr>
        <w:fldChar w:fldCharType="separate"/>
      </w:r>
      <w:r>
        <w:rPr>
          <w:rFonts w:hint="eastAsia" w:ascii="仿宋_GB2312" w:hAnsi="仿宋_GB2312" w:cs="Times New Roman"/>
          <w:b w:val="0"/>
          <w:bCs w:val="0"/>
          <w:kern w:val="0"/>
          <w:szCs w:val="32"/>
          <w:highlight w:val="none"/>
          <w:lang w:eastAsia="zh-CN" w:bidi="ar"/>
        </w:rPr>
        <w:t>第</w:t>
      </w:r>
      <w:r>
        <w:rPr>
          <w:rFonts w:hint="eastAsia" w:ascii="仿宋_GB2312" w:hAnsi="仿宋_GB2312" w:cs="Times New Roman"/>
          <w:b w:val="0"/>
          <w:bCs w:val="0"/>
          <w:kern w:val="0"/>
          <w:szCs w:val="32"/>
          <w:highlight w:val="none"/>
          <w:lang w:val="en-US" w:eastAsia="zh-CN" w:bidi="ar"/>
        </w:rPr>
        <w:t>六</w:t>
      </w:r>
      <w:r>
        <w:rPr>
          <w:rFonts w:hint="eastAsia" w:ascii="仿宋_GB2312" w:hAnsi="仿宋_GB2312" w:cs="Times New Roman"/>
          <w:b w:val="0"/>
          <w:bCs w:val="0"/>
          <w:kern w:val="0"/>
          <w:szCs w:val="32"/>
          <w:highlight w:val="none"/>
          <w:lang w:eastAsia="zh-CN" w:bidi="ar"/>
        </w:rPr>
        <w:t>节</w:t>
      </w:r>
      <w:r>
        <w:rPr>
          <w:rFonts w:hint="eastAsia" w:ascii="仿宋_GB2312" w:hAnsi="仿宋_GB2312" w:cs="Times New Roman"/>
          <w:b w:val="0"/>
          <w:bCs w:val="0"/>
          <w:kern w:val="0"/>
          <w:szCs w:val="32"/>
          <w:highlight w:val="none"/>
          <w:lang w:val="en-US" w:eastAsia="zh-CN" w:bidi="ar"/>
        </w:rPr>
        <w:t xml:space="preserve"> </w:t>
      </w:r>
      <w:r>
        <w:rPr>
          <w:rFonts w:hint="eastAsia" w:ascii="仿宋_GB2312" w:hAnsi="仿宋_GB2312" w:cs="Times New Roman"/>
          <w:b w:val="0"/>
          <w:bCs w:val="0"/>
          <w:kern w:val="0"/>
          <w:szCs w:val="32"/>
          <w:highlight w:val="none"/>
          <w:lang w:eastAsia="zh-CN" w:bidi="ar"/>
        </w:rPr>
        <w:t>牢固树立“实干为要、创新为魂，用业绩说话、让人民评价”鲜明导向</w:t>
      </w:r>
      <w:r>
        <w:rPr>
          <w:b w:val="0"/>
          <w:bCs w:val="0"/>
        </w:rPr>
        <w:tab/>
      </w:r>
      <w:r>
        <w:rPr>
          <w:b w:val="0"/>
          <w:bCs w:val="0"/>
        </w:rPr>
        <w:fldChar w:fldCharType="begin"/>
      </w:r>
      <w:r>
        <w:rPr>
          <w:b w:val="0"/>
          <w:bCs w:val="0"/>
        </w:rPr>
        <w:instrText xml:space="preserve"> PAGEREF _Toc223 \h </w:instrText>
      </w:r>
      <w:r>
        <w:rPr>
          <w:b w:val="0"/>
          <w:bCs w:val="0"/>
        </w:rPr>
        <w:fldChar w:fldCharType="separate"/>
      </w:r>
      <w:r>
        <w:rPr>
          <w:b w:val="0"/>
          <w:bCs w:val="0"/>
        </w:rPr>
        <w:t>- 110 -</w:t>
      </w:r>
      <w:r>
        <w:rPr>
          <w:b w:val="0"/>
          <w:bCs w:val="0"/>
        </w:rPr>
        <w:fldChar w:fldCharType="end"/>
      </w:r>
      <w:r>
        <w:rPr>
          <w:rFonts w:hint="eastAsia" w:ascii="仿宋_GB2312" w:hAnsi="仿宋_GB2312" w:eastAsia="仿宋_GB2312" w:cs="仿宋_GB2312"/>
          <w:b w:val="0"/>
          <w:bCs w:val="0"/>
          <w:color w:val="auto"/>
          <w:szCs w:val="28"/>
          <w:highlight w:val="none"/>
        </w:rPr>
        <w:fldChar w:fldCharType="end"/>
      </w:r>
    </w:p>
    <w:p w14:paraId="55403799">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cs="Times New Roman"/>
          <w:color w:val="auto"/>
          <w:highlight w:val="none"/>
          <w:lang w:val="en-US" w:eastAsia="zh-CN"/>
        </w:rPr>
        <w:sectPr>
          <w:footerReference r:id="rId5" w:type="default"/>
          <w:pgSz w:w="11906" w:h="16838"/>
          <w:pgMar w:top="2098" w:right="1474" w:bottom="1984" w:left="1587" w:header="851" w:footer="992" w:gutter="0"/>
          <w:pgNumType w:fmt="numberInDash" w:start="1"/>
          <w:cols w:space="425" w:num="1"/>
          <w:docGrid w:type="lines" w:linePitch="312" w:charSpace="0"/>
        </w:sectPr>
      </w:pPr>
      <w:r>
        <w:rPr>
          <w:rFonts w:hint="eastAsia" w:ascii="仿宋_GB2312" w:hAnsi="仿宋_GB2312" w:eastAsia="仿宋_GB2312" w:cs="仿宋_GB2312"/>
          <w:b w:val="0"/>
          <w:bCs w:val="0"/>
          <w:color w:val="auto"/>
          <w:szCs w:val="28"/>
          <w:highlight w:val="none"/>
        </w:rPr>
        <w:fldChar w:fldCharType="end"/>
      </w:r>
    </w:p>
    <w:p w14:paraId="71637675">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b w:val="0"/>
          <w:bCs/>
          <w:color w:val="auto"/>
          <w:sz w:val="32"/>
          <w:szCs w:val="32"/>
          <w:highlight w:val="none"/>
          <w:lang w:val="en-US" w:eastAsia="zh-CN"/>
        </w:rPr>
      </w:pPr>
      <w:bookmarkStart w:id="2" w:name="_Toc24629"/>
      <w:bookmarkStart w:id="3" w:name="_Toc28485"/>
      <w:bookmarkStart w:id="4" w:name="_Toc5363"/>
      <w:bookmarkStart w:id="5" w:name="_Toc10585"/>
      <w:bookmarkStart w:id="6" w:name="_Toc20134"/>
      <w:bookmarkStart w:id="7" w:name="_Toc11861"/>
      <w:r>
        <w:rPr>
          <w:rFonts w:hint="eastAsia" w:cs="Times New Roman"/>
          <w:b w:val="0"/>
          <w:bCs/>
          <w:color w:val="auto"/>
          <w:sz w:val="32"/>
          <w:szCs w:val="32"/>
          <w:highlight w:val="none"/>
          <w:lang w:val="en-US" w:eastAsia="zh-CN"/>
        </w:rPr>
        <w:t>第一章 “十四五”发展成就回顾</w:t>
      </w:r>
      <w:bookmarkEnd w:id="2"/>
      <w:bookmarkEnd w:id="3"/>
      <w:bookmarkEnd w:id="4"/>
      <w:bookmarkEnd w:id="5"/>
      <w:bookmarkEnd w:id="6"/>
      <w:bookmarkEnd w:id="7"/>
    </w:p>
    <w:p w14:paraId="2B0F41ED">
      <w:pPr>
        <w:pStyle w:val="4"/>
        <w:keepNext w:val="0"/>
        <w:keepLines w:val="0"/>
        <w:pageBreakBefore w:val="0"/>
        <w:widowControl/>
        <w:suppressLineNumbers w:val="0"/>
        <w:kinsoku/>
        <w:wordWrap/>
        <w:overflowPunct/>
        <w:topLinePunct w:val="0"/>
        <w:autoSpaceDE/>
        <w:autoSpaceDN/>
        <w:bidi w:val="0"/>
        <w:adjustRightInd/>
        <w:snapToGrid/>
        <w:spacing w:beforeLines="-2147483648" w:beforeAutospacing="0" w:afterLines="-2147483648" w:line="560" w:lineRule="exact"/>
        <w:ind w:left="0" w:firstLine="0" w:firstLineChars="0"/>
        <w:jc w:val="center"/>
        <w:textAlignment w:val="auto"/>
        <w:rPr>
          <w:rFonts w:hint="eastAsia"/>
          <w:color w:val="auto"/>
          <w:highlight w:val="none"/>
          <w:lang w:val="en-US" w:eastAsia="zh-CN"/>
        </w:rPr>
      </w:pPr>
      <w:bookmarkStart w:id="8" w:name="_Toc31713"/>
      <w:bookmarkStart w:id="9" w:name="_Toc12924"/>
      <w:bookmarkStart w:id="10" w:name="_Toc8110"/>
      <w:bookmarkStart w:id="11" w:name="_Toc12625"/>
      <w:bookmarkStart w:id="12" w:name="_Toc24335"/>
      <w:bookmarkStart w:id="13" w:name="_Toc28057"/>
      <w:r>
        <w:rPr>
          <w:rFonts w:hint="eastAsia"/>
          <w:color w:val="auto"/>
          <w:highlight w:val="none"/>
          <w:lang w:val="en-US" w:eastAsia="zh-CN"/>
        </w:rPr>
        <w:t>第一节 发展基础</w:t>
      </w:r>
      <w:bookmarkEnd w:id="8"/>
      <w:bookmarkEnd w:id="9"/>
      <w:bookmarkEnd w:id="10"/>
      <w:bookmarkEnd w:id="11"/>
      <w:bookmarkEnd w:id="12"/>
      <w:bookmarkEnd w:id="13"/>
    </w:p>
    <w:p w14:paraId="3678636A">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cs="Times New Roman"/>
          <w:b/>
          <w:bCs/>
          <w:color w:val="auto"/>
          <w:sz w:val="32"/>
          <w:szCs w:val="32"/>
          <w:highlight w:val="none"/>
          <w:lang w:val="en-US" w:eastAsia="zh-CN"/>
        </w:rPr>
      </w:pPr>
      <w:r>
        <w:rPr>
          <w:rFonts w:hint="eastAsia" w:ascii="仿宋_GB2312" w:hAnsi="仿宋_GB2312" w:eastAsia="仿宋_GB2312" w:cs="仿宋_GB2312"/>
          <w:color w:val="auto"/>
          <w:highlight w:val="none"/>
          <w:u w:val="none" w:color="auto"/>
          <w:lang w:val="en-US" w:eastAsia="zh-CN"/>
        </w:rPr>
        <w:t>“十四五”以来，县委坚持以习近平新时代中国特色社会主义思想为指导，深入贯彻落实习近平总书记关于广西工作论述的重要要求，锚定“打造民营经济强县、构建现代化商贸名城、建设宜居宜业中等城市”的目标，凝心聚力、攻坚克难，平稳应对世纪疫情严重冲击，有效破解产业升级、基建短板等发展难题，呈现出经济稳中有进、民生持续改善、社会和谐稳定的良好局面。</w:t>
      </w:r>
    </w:p>
    <w:p w14:paraId="23F7E13D">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Times New Roman"/>
          <w:b w:val="0"/>
          <w:bCs w:val="0"/>
          <w:color w:val="auto"/>
          <w:sz w:val="32"/>
          <w:szCs w:val="32"/>
          <w:highlight w:val="none"/>
          <w:lang w:val="en-US" w:eastAsia="zh-CN"/>
        </w:rPr>
      </w:pPr>
      <w:r>
        <w:rPr>
          <w:rFonts w:hint="default" w:ascii="仿宋_GB2312" w:hAnsi="仿宋_GB2312" w:cs="Times New Roman"/>
          <w:b/>
          <w:bCs/>
          <w:color w:val="auto"/>
          <w:sz w:val="32"/>
          <w:szCs w:val="32"/>
          <w:highlight w:val="none"/>
          <w:lang w:val="en-US" w:eastAsia="zh-CN"/>
        </w:rPr>
        <w:t>综合实力持续提升，产业结构持续优化</w:t>
      </w:r>
      <w:r>
        <w:rPr>
          <w:rFonts w:hint="eastAsia" w:ascii="仿宋_GB2312" w:hAnsi="仿宋_GB2312" w:cs="Times New Roman"/>
          <w:b/>
          <w:bCs/>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“十四五”时期，地区生产总值</w:t>
      </w:r>
      <w:r>
        <w:rPr>
          <w:rFonts w:hint="default" w:ascii="仿宋_GB2312" w:hAnsi="仿宋_GB2312" w:eastAsia="仿宋_GB2312" w:cs="Times New Roman"/>
          <w:b w:val="0"/>
          <w:bCs w:val="0"/>
          <w:color w:val="auto"/>
          <w:sz w:val="32"/>
          <w:szCs w:val="32"/>
          <w:highlight w:val="none"/>
          <w:lang w:val="en-US" w:eastAsia="zh-CN"/>
        </w:rPr>
        <w:t>稳健增长</w:t>
      </w:r>
      <w:r>
        <w:rPr>
          <w:rFonts w:hint="eastAsia" w:ascii="仿宋_GB2312" w:hAnsi="仿宋_GB2312" w:eastAsia="仿宋_GB2312" w:cs="Times New Roman"/>
          <w:b w:val="0"/>
          <w:bCs w:val="0"/>
          <w:color w:val="auto"/>
          <w:sz w:val="32"/>
          <w:szCs w:val="32"/>
          <w:highlight w:val="none"/>
          <w:lang w:val="en-US" w:eastAsia="zh-CN"/>
        </w:rPr>
        <w:t>、</w:t>
      </w:r>
      <w:r>
        <w:rPr>
          <w:rFonts w:hint="default" w:ascii="仿宋_GB2312" w:hAnsi="仿宋_GB2312" w:eastAsia="仿宋_GB2312" w:cs="Times New Roman"/>
          <w:b w:val="0"/>
          <w:bCs w:val="0"/>
          <w:color w:val="auto"/>
          <w:sz w:val="32"/>
          <w:szCs w:val="32"/>
          <w:highlight w:val="none"/>
          <w:lang w:val="en-US" w:eastAsia="zh-CN"/>
        </w:rPr>
        <w:t>态势良好</w:t>
      </w:r>
      <w:r>
        <w:rPr>
          <w:rFonts w:hint="eastAsia" w:ascii="仿宋_GB2312" w:hAnsi="仿宋_GB2312" w:eastAsia="仿宋_GB2312" w:cs="Times New Roman"/>
          <w:b w:val="0"/>
          <w:bCs w:val="0"/>
          <w:color w:val="auto"/>
          <w:sz w:val="32"/>
          <w:szCs w:val="32"/>
          <w:highlight w:val="none"/>
          <w:lang w:val="en-US" w:eastAsia="zh-CN"/>
        </w:rPr>
        <w:t>，</w:t>
      </w:r>
      <w:r>
        <w:rPr>
          <w:rFonts w:hint="eastAsia" w:ascii="仿宋_GB2312" w:hAnsi="仿宋_GB2312" w:cs="Times New Roman"/>
          <w:b w:val="0"/>
          <w:bCs w:val="0"/>
          <w:color w:val="auto"/>
          <w:sz w:val="32"/>
          <w:szCs w:val="32"/>
          <w:highlight w:val="none"/>
          <w:lang w:val="en-US" w:eastAsia="zh-CN"/>
        </w:rPr>
        <w:t>年度经济总量</w:t>
      </w:r>
      <w:r>
        <w:rPr>
          <w:rFonts w:hint="eastAsia" w:ascii="仿宋_GB2312" w:hAnsi="仿宋_GB2312" w:eastAsia="仿宋_GB2312" w:cs="Times New Roman"/>
          <w:b w:val="0"/>
          <w:bCs w:val="0"/>
          <w:color w:val="auto"/>
          <w:sz w:val="32"/>
          <w:szCs w:val="32"/>
          <w:highlight w:val="none"/>
          <w:lang w:val="en-US" w:eastAsia="zh-CN"/>
        </w:rPr>
        <w:t>突破300亿元大关，</w:t>
      </w:r>
      <w:r>
        <w:rPr>
          <w:rFonts w:hint="eastAsia" w:ascii="仿宋_GB2312" w:hAnsi="仿宋_GB2312" w:cs="Times New Roman"/>
          <w:b w:val="0"/>
          <w:bCs w:val="0"/>
          <w:color w:val="auto"/>
          <w:sz w:val="32"/>
          <w:szCs w:val="32"/>
          <w:highlight w:val="none"/>
          <w:lang w:val="en-US" w:eastAsia="zh-CN"/>
        </w:rPr>
        <w:t xml:space="preserve">预计2025年  </w:t>
      </w:r>
      <w:r>
        <w:rPr>
          <w:rFonts w:hint="eastAsia" w:ascii="仿宋_GB2312" w:hAnsi="仿宋_GB2312" w:eastAsia="仿宋_GB2312" w:cs="Times New Roman"/>
          <w:b w:val="0"/>
          <w:bCs w:val="0"/>
          <w:color w:val="auto"/>
          <w:sz w:val="32"/>
          <w:szCs w:val="32"/>
          <w:highlight w:val="none"/>
          <w:lang w:val="en-US" w:eastAsia="zh-CN"/>
        </w:rPr>
        <w:t>亿元</w:t>
      </w:r>
      <w:r>
        <w:rPr>
          <w:rFonts w:hint="eastAsia" w:ascii="仿宋_GB2312" w:hAnsi="仿宋_GB2312" w:cs="Times New Roman"/>
          <w:b w:val="0"/>
          <w:bCs w:val="0"/>
          <w:color w:val="auto"/>
          <w:sz w:val="32"/>
          <w:szCs w:val="32"/>
          <w:highlight w:val="none"/>
          <w:lang w:val="en-US" w:eastAsia="zh-CN"/>
        </w:rPr>
        <w:t>，年均增长X%左右</w:t>
      </w:r>
      <w:r>
        <w:rPr>
          <w:rFonts w:hint="eastAsia" w:ascii="仿宋_GB2312" w:hAnsi="仿宋_GB2312" w:cs="Times New Roman"/>
          <w:b w:val="0"/>
          <w:bCs w:val="0"/>
          <w:color w:val="auto"/>
          <w:w w:val="100"/>
          <w:kern w:val="2"/>
          <w:sz w:val="32"/>
          <w:szCs w:val="32"/>
          <w:highlight w:val="none"/>
          <w:u w:val="none"/>
          <w:lang w:val="en-US" w:eastAsia="zh-CN" w:bidi="ar-SA"/>
        </w:rPr>
        <w:t>，</w:t>
      </w:r>
      <w:r>
        <w:rPr>
          <w:rFonts w:hint="eastAsia" w:ascii="仿宋_GB2312" w:hAnsi="仿宋_GB2312" w:eastAsia="仿宋_GB2312" w:cs="Times New Roman"/>
          <w:b w:val="0"/>
          <w:bCs w:val="0"/>
          <w:color w:val="auto"/>
          <w:sz w:val="32"/>
          <w:szCs w:val="32"/>
          <w:highlight w:val="none"/>
          <w:lang w:val="en-US" w:eastAsia="zh-CN"/>
        </w:rPr>
        <w:t>一般公共预算收入从2020年的9.82亿元增至X亿元</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color w:val="auto"/>
          <w:szCs w:val="32"/>
          <w:highlight w:val="none"/>
          <w:u w:val="none"/>
          <w:lang w:val="en-US" w:eastAsia="zh-CN"/>
        </w:rPr>
        <w:t>成功入选中国西部百强县，广西县域经济总量排名前十</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cs="Times New Roman"/>
          <w:b w:val="0"/>
          <w:bCs w:val="0"/>
          <w:strike w:val="0"/>
          <w:dstrike w:val="0"/>
          <w:color w:val="auto"/>
          <w:sz w:val="32"/>
          <w:szCs w:val="32"/>
          <w:highlight w:val="none"/>
          <w:u w:val="none"/>
          <w:lang w:val="en-US" w:eastAsia="zh-CN"/>
        </w:rPr>
        <w:t>工业</w:t>
      </w:r>
      <w:r>
        <w:rPr>
          <w:rFonts w:hint="eastAsia" w:ascii="仿宋_GB2312" w:hAnsi="仿宋_GB2312" w:eastAsia="仿宋_GB2312" w:cs="Times New Roman"/>
          <w:b w:val="0"/>
          <w:bCs w:val="0"/>
          <w:color w:val="auto"/>
          <w:sz w:val="32"/>
          <w:szCs w:val="32"/>
          <w:highlight w:val="none"/>
          <w:lang w:val="en-US" w:eastAsia="zh-CN"/>
        </w:rPr>
        <w:t>投资规模持续扩大，累计完成</w:t>
      </w:r>
      <w:r>
        <w:rPr>
          <w:rFonts w:hint="eastAsia" w:ascii="仿宋_GB2312" w:hAnsi="仿宋_GB2312" w:cs="Times New Roman"/>
          <w:b w:val="0"/>
          <w:bCs w:val="0"/>
          <w:strike w:val="0"/>
          <w:dstrike w:val="0"/>
          <w:color w:val="auto"/>
          <w:sz w:val="32"/>
          <w:szCs w:val="32"/>
          <w:highlight w:val="none"/>
          <w:u w:val="none"/>
          <w:lang w:val="en-US" w:eastAsia="zh-CN"/>
        </w:rPr>
        <w:t>工业</w:t>
      </w:r>
      <w:r>
        <w:rPr>
          <w:rFonts w:hint="eastAsia" w:ascii="仿宋_GB2312" w:hAnsi="仿宋_GB2312" w:eastAsia="仿宋_GB2312" w:cs="Times New Roman"/>
          <w:b w:val="0"/>
          <w:bCs w:val="0"/>
          <w:color w:val="auto"/>
          <w:sz w:val="32"/>
          <w:szCs w:val="32"/>
          <w:highlight w:val="none"/>
          <w:lang w:val="en-US" w:eastAsia="zh-CN"/>
        </w:rPr>
        <w:t>投资X亿元</w:t>
      </w:r>
      <w:r>
        <w:rPr>
          <w:rFonts w:hint="eastAsia" w:ascii="仿宋_GB2312" w:hAnsi="仿宋_GB2312" w:cs="Times New Roman"/>
          <w:b w:val="0"/>
          <w:bCs w:val="0"/>
          <w:color w:val="auto"/>
          <w:sz w:val="32"/>
          <w:szCs w:val="32"/>
          <w:highlight w:val="none"/>
          <w:lang w:val="en-US" w:eastAsia="zh-CN"/>
        </w:rPr>
        <w:t>；固定资产投资规模持续发力，“十四五”期间累计完成固定资产投资647.71亿元；服务业蓬勃发展，营利性服务业营业额由2020年的     万元，提升至2025年的XX万元，增长  %。</w:t>
      </w:r>
      <w:r>
        <w:rPr>
          <w:rFonts w:hint="eastAsia" w:ascii="仿宋_GB2312" w:hAnsi="仿宋_GB2312" w:eastAsia="仿宋_GB2312" w:cs="Times New Roman"/>
          <w:b w:val="0"/>
          <w:bCs w:val="0"/>
          <w:color w:val="auto"/>
          <w:sz w:val="32"/>
          <w:szCs w:val="32"/>
          <w:highlight w:val="none"/>
          <w:lang w:val="en-US" w:eastAsia="zh-CN"/>
        </w:rPr>
        <w:t>消费市场活力不断迸发，社会消费品零售总额由2020年的99.96亿元提升至X亿元</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产业发展后劲逐渐坚实，“十四五”期间</w:t>
      </w:r>
      <w:r>
        <w:rPr>
          <w:rFonts w:hint="eastAsia" w:ascii="仿宋_GB2312" w:hAnsi="仿宋_GB2312" w:eastAsia="仿宋_GB2312" w:cs="仿宋_GB2312"/>
          <w:color w:val="auto"/>
          <w:highlight w:val="none"/>
          <w:u w:val="none" w:color="auto"/>
          <w:lang w:val="en-US" w:eastAsia="zh-CN"/>
        </w:rPr>
        <w:t>一、二、三产增加值</w:t>
      </w:r>
      <w:r>
        <w:rPr>
          <w:rFonts w:hint="eastAsia" w:ascii="仿宋_GB2312" w:hAnsi="仿宋_GB2312" w:cs="仿宋_GB2312"/>
          <w:color w:val="auto"/>
          <w:highlight w:val="none"/>
          <w:u w:val="none" w:color="auto"/>
          <w:lang w:val="en-US" w:eastAsia="zh-CN"/>
        </w:rPr>
        <w:t>分别为</w:t>
      </w:r>
      <w:r>
        <w:rPr>
          <w:rFonts w:hint="eastAsia" w:ascii="仿宋_GB2312" w:hAnsi="仿宋_GB2312" w:eastAsia="仿宋_GB2312" w:cs="Times New Roman"/>
          <w:b w:val="0"/>
          <w:bCs w:val="0"/>
          <w:color w:val="auto"/>
          <w:sz w:val="32"/>
          <w:szCs w:val="32"/>
          <w:highlight w:val="none"/>
          <w:lang w:val="en-US" w:eastAsia="zh-CN"/>
        </w:rPr>
        <w:t>X亿元</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X亿元</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X亿元，</w:t>
      </w:r>
      <w:r>
        <w:rPr>
          <w:rFonts w:hint="eastAsia" w:ascii="仿宋_GB2312" w:hAnsi="仿宋_GB2312" w:cs="Times New Roman"/>
          <w:b w:val="0"/>
          <w:bCs w:val="0"/>
          <w:color w:val="auto"/>
          <w:sz w:val="32"/>
          <w:szCs w:val="32"/>
          <w:highlight w:val="none"/>
          <w:lang w:val="en-US" w:eastAsia="zh-CN"/>
        </w:rPr>
        <w:t>分别</w:t>
      </w:r>
      <w:r>
        <w:rPr>
          <w:rFonts w:hint="eastAsia" w:ascii="仿宋_GB2312" w:hAnsi="仿宋_GB2312" w:eastAsia="仿宋_GB2312" w:cs="Times New Roman"/>
          <w:b w:val="0"/>
          <w:bCs w:val="0"/>
          <w:color w:val="auto"/>
          <w:sz w:val="32"/>
          <w:szCs w:val="32"/>
          <w:highlight w:val="none"/>
          <w:lang w:val="en-US" w:eastAsia="zh-CN"/>
        </w:rPr>
        <w:t>增长X%</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X%</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X%。（注：X为待官方正式发布后填充的实际数据，此处仅作结构性表述。）</w:t>
      </w:r>
    </w:p>
    <w:p w14:paraId="7AFA04BA">
      <w:pPr>
        <w:keepNext w:val="0"/>
        <w:keepLines w:val="0"/>
        <w:pageBreakBefore w:val="0"/>
        <w:widowControl/>
        <w:pBdr>
          <w:top w:val="none" w:color="auto" w:sz="0" w:space="0"/>
          <w:left w:val="none" w:color="auto" w:sz="0" w:space="0"/>
          <w:right w:val="none" w:color="auto" w:sz="0" w:space="0"/>
        </w:pBdr>
        <w:kinsoku/>
        <w:wordWrap/>
        <w:overflowPunct/>
        <w:topLinePunct w:val="0"/>
        <w:autoSpaceDE/>
        <w:autoSpaceDN/>
        <w:bidi w:val="0"/>
        <w:adjustRightInd/>
        <w:snapToGrid/>
        <w:spacing w:line="560" w:lineRule="exact"/>
        <w:textAlignment w:val="auto"/>
        <w:rPr>
          <w:rFonts w:hint="eastAsia" w:ascii="仿宋_GB2312" w:hAnsi="仿宋_GB2312" w:cs="Times New Roman"/>
          <w:color w:val="auto"/>
          <w:sz w:val="32"/>
          <w:szCs w:val="32"/>
          <w:highlight w:val="none"/>
          <w:lang w:val="en-US" w:eastAsia="zh-CN"/>
        </w:rPr>
      </w:pPr>
      <w:r>
        <w:rPr>
          <w:rFonts w:hint="default" w:cs="Times New Roman"/>
          <w:b/>
          <w:bCs/>
          <w:color w:val="auto"/>
          <w:sz w:val="32"/>
          <w:szCs w:val="32"/>
          <w:highlight w:val="none"/>
          <w:lang w:val="en-US" w:eastAsia="zh-CN"/>
        </w:rPr>
        <w:t>工业振兴步伐加快，新质生产力引领发展</w:t>
      </w:r>
      <w:r>
        <w:rPr>
          <w:rFonts w:hint="eastAsia" w:cs="Times New Roman"/>
          <w:b/>
          <w:bCs/>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工业基础更加坚实，绿色家居、高端建材、轻工制造等传统产业加快转型升级，</w:t>
      </w:r>
      <w:r>
        <w:rPr>
          <w:rFonts w:hint="eastAsia" w:ascii="仿宋_GB2312" w:hAnsi="仿宋_GB2312" w:cs="Times New Roman"/>
          <w:color w:val="auto"/>
          <w:sz w:val="32"/>
          <w:szCs w:val="32"/>
          <w:highlight w:val="none"/>
          <w:lang w:val="en-US" w:eastAsia="zh-CN"/>
        </w:rPr>
        <w:t>电子信息、建材、林木造纸、农副产品加工等“四大支柱”产业持续壮大，</w:t>
      </w:r>
      <w:r>
        <w:rPr>
          <w:rFonts w:hint="eastAsia" w:ascii="仿宋_GB2312" w:hAnsi="仿宋_GB2312" w:eastAsia="仿宋_GB2312" w:cs="仿宋_GB2312"/>
          <w:color w:val="auto"/>
          <w:highlight w:val="none"/>
          <w:u w:val="none" w:color="auto"/>
          <w:lang w:val="en-US" w:eastAsia="zh-CN"/>
        </w:rPr>
        <w:t>规上工业企业增至158家，限上企业101家</w:t>
      </w:r>
      <w:r>
        <w:rPr>
          <w:rFonts w:hint="eastAsia" w:ascii="仿宋_GB2312" w:hAnsi="仿宋_GB2312" w:cs="仿宋_GB2312"/>
          <w:b w:val="0"/>
          <w:bCs w:val="0"/>
          <w:color w:val="auto"/>
          <w:sz w:val="32"/>
          <w:szCs w:val="24"/>
          <w:highlight w:val="none"/>
          <w:u w:val="none" w:color="auto"/>
          <w:lang w:val="en-US" w:eastAsia="zh-CN"/>
        </w:rPr>
        <w:t>；</w:t>
      </w:r>
      <w:r>
        <w:rPr>
          <w:rFonts w:hint="eastAsia" w:ascii="仿宋_GB2312" w:hAnsi="仿宋_GB2312" w:eastAsia="仿宋_GB2312" w:cs="Times New Roman"/>
          <w:color w:val="auto"/>
          <w:sz w:val="32"/>
          <w:szCs w:val="32"/>
          <w:highlight w:val="none"/>
          <w:u w:val="none"/>
        </w:rPr>
        <w:t>新型工业化扎实推进，建成全区首个焊接机器人生产基地</w:t>
      </w:r>
      <w:r>
        <w:rPr>
          <w:rFonts w:hint="eastAsia" w:ascii="仿宋_GB2312" w:hAnsi="仿宋_GB2312" w:eastAsia="仿宋_GB2312" w:cs="Times New Roman"/>
          <w:color w:val="auto"/>
          <w:sz w:val="32"/>
          <w:szCs w:val="32"/>
          <w:highlight w:val="none"/>
          <w:u w:val="none"/>
          <w:lang w:val="en-US"/>
        </w:rPr>
        <w:t>、首个植保无人机产业项目</w:t>
      </w:r>
      <w:r>
        <w:rPr>
          <w:rFonts w:hint="eastAsia" w:ascii="仿宋_GB2312" w:hAnsi="仿宋_GB2312" w:cs="Times New Roman"/>
          <w:color w:val="auto"/>
          <w:sz w:val="32"/>
          <w:szCs w:val="32"/>
          <w:highlight w:val="none"/>
          <w:u w:val="none"/>
          <w:lang w:val="en-US" w:eastAsia="zh-CN"/>
        </w:rPr>
        <w:t>，</w:t>
      </w:r>
      <w:r>
        <w:rPr>
          <w:rFonts w:hint="eastAsia" w:ascii="仿宋_GB2312" w:hAnsi="仿宋_GB2312" w:eastAsia="仿宋_GB2312" w:cs="仿宋_GB2312"/>
          <w:color w:val="auto"/>
          <w:highlight w:val="none"/>
          <w:u w:val="none" w:color="auto"/>
          <w:lang w:val="en-US" w:eastAsia="zh-CN"/>
        </w:rPr>
        <w:t>成立全区首个县域新质生产力创新基地</w:t>
      </w:r>
      <w:r>
        <w:rPr>
          <w:rFonts w:hint="eastAsia" w:ascii="仿宋_GB2312" w:hAnsi="仿宋_GB2312" w:cs="仿宋_GB2312"/>
          <w:color w:val="auto"/>
          <w:highlight w:val="none"/>
          <w:u w:val="none" w:color="auto"/>
          <w:lang w:val="en-US" w:eastAsia="zh-CN"/>
        </w:rPr>
        <w:t>，</w:t>
      </w:r>
      <w:r>
        <w:rPr>
          <w:rFonts w:hint="eastAsia" w:ascii="仿宋_GB2312" w:hAnsi="仿宋_GB2312" w:eastAsia="仿宋_GB2312" w:cs="仿宋_GB2312"/>
          <w:b w:val="0"/>
          <w:bCs w:val="0"/>
          <w:color w:val="auto"/>
          <w:sz w:val="32"/>
          <w:szCs w:val="24"/>
          <w:highlight w:val="none"/>
          <w:u w:val="none" w:color="auto"/>
          <w:lang w:val="en-US" w:eastAsia="zh-CN"/>
        </w:rPr>
        <w:t>黎塘工业园</w:t>
      </w:r>
      <w:r>
        <w:rPr>
          <w:rFonts w:hint="eastAsia" w:ascii="仿宋_GB2312" w:hAnsi="仿宋_GB2312" w:eastAsia="仿宋_GB2312" w:cs="Times New Roman"/>
          <w:b w:val="0"/>
          <w:bCs w:val="0"/>
          <w:color w:val="auto"/>
          <w:sz w:val="32"/>
          <w:szCs w:val="32"/>
          <w:highlight w:val="none"/>
          <w:lang w:val="en-US" w:eastAsia="zh-CN"/>
        </w:rPr>
        <w:t>区实现全绿色电力供应，可再生能源装机占比达100%，获评自治区特色园区</w:t>
      </w:r>
      <w:r>
        <w:rPr>
          <w:rFonts w:hint="eastAsia" w:ascii="仿宋_GB2312" w:hAnsi="仿宋_GB2312" w:cs="Times New Roman"/>
          <w:b w:val="0"/>
          <w:bCs w:val="0"/>
          <w:color w:val="auto"/>
          <w:sz w:val="32"/>
          <w:szCs w:val="32"/>
          <w:highlight w:val="none"/>
          <w:lang w:val="en-US" w:eastAsia="zh-CN"/>
        </w:rPr>
        <w:t>；紧抓工业投资，工业园区</w:t>
      </w:r>
      <w:r>
        <w:rPr>
          <w:rFonts w:hint="eastAsia" w:ascii="仿宋_GB2312" w:hAnsi="仿宋_GB2312" w:eastAsia="仿宋_GB2312" w:cs="Times New Roman"/>
          <w:b w:val="0"/>
          <w:bCs w:val="0"/>
          <w:color w:val="auto"/>
          <w:sz w:val="32"/>
          <w:szCs w:val="32"/>
          <w:highlight w:val="none"/>
          <w:lang w:val="en-US" w:eastAsia="zh-CN"/>
        </w:rPr>
        <w:t>集聚效应初显</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cs="Times New Roman"/>
          <w:color w:val="auto"/>
          <w:sz w:val="32"/>
          <w:szCs w:val="32"/>
          <w:highlight w:val="none"/>
          <w:lang w:val="en-US" w:eastAsia="zh-CN"/>
        </w:rPr>
        <w:t>晶飞3GW光伏组件、东盟现代生活用纸、岑科电子5G高频电感器</w:t>
      </w:r>
      <w:r>
        <w:rPr>
          <w:rFonts w:hint="eastAsia" w:ascii="仿宋_GB2312" w:hAnsi="仿宋_GB2312" w:eastAsia="仿宋_GB2312" w:cs="Times New Roman"/>
          <w:b w:val="0"/>
          <w:bCs w:val="0"/>
          <w:color w:val="auto"/>
          <w:sz w:val="32"/>
          <w:szCs w:val="32"/>
          <w:highlight w:val="none"/>
          <w:lang w:val="en-US" w:eastAsia="zh-CN"/>
        </w:rPr>
        <w:t>等多个项目建成投产，马王风电二期等新能源项目并网发电</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cs="Times New Roman"/>
          <w:color w:val="auto"/>
          <w:sz w:val="32"/>
          <w:szCs w:val="32"/>
          <w:highlight w:val="none"/>
          <w:lang w:val="en-US" w:eastAsia="zh-CN"/>
        </w:rPr>
        <w:t>科技创新能力显著提升，企业自主创新成效明显，新技术企业增至25家，累计完成重大科技成果转化48项，市区两级企业技术中心14家，发明专利数量持续增长，瞪羚企业、众创空间培育实现新突破。</w:t>
      </w:r>
      <w:r>
        <w:rPr>
          <w:rFonts w:hint="eastAsia" w:ascii="仿宋_GB2312" w:hAnsi="仿宋_GB2312" w:eastAsia="仿宋_GB2312" w:cs="Times New Roman"/>
          <w:b w:val="0"/>
          <w:bCs w:val="0"/>
          <w:color w:val="auto"/>
          <w:sz w:val="32"/>
          <w:szCs w:val="32"/>
          <w:highlight w:val="none"/>
          <w:lang w:val="en-US" w:eastAsia="zh-CN"/>
        </w:rPr>
        <w:t>（注：X为待官方正式发布后填充的实际数据，此处仅作结构性表述。）</w:t>
      </w:r>
    </w:p>
    <w:p w14:paraId="50949EC9">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cs="Times New Roman"/>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rPr>
        <w:t>实施农业稳县战略</w:t>
      </w:r>
      <w:r>
        <w:rPr>
          <w:rFonts w:hint="default" w:ascii="Times New Roman" w:hAnsi="Times New Roman" w:cs="Times New Roman"/>
          <w:b/>
          <w:bCs/>
          <w:color w:val="auto"/>
          <w:szCs w:val="32"/>
          <w:highlight w:val="none"/>
          <w:lang w:val="en-US" w:eastAsia="zh-CN"/>
        </w:rPr>
        <w:t>，</w:t>
      </w:r>
      <w:r>
        <w:rPr>
          <w:rFonts w:hint="default" w:cs="Times New Roman"/>
          <w:b/>
          <w:bCs/>
          <w:color w:val="auto"/>
          <w:sz w:val="32"/>
          <w:szCs w:val="32"/>
          <w:highlight w:val="none"/>
          <w:lang w:val="en-US" w:eastAsia="zh-CN"/>
        </w:rPr>
        <w:t>农业现代化</w:t>
      </w:r>
      <w:r>
        <w:rPr>
          <w:rFonts w:hint="eastAsia" w:ascii="Times New Roman" w:hAnsi="Times New Roman" w:cs="Times New Roman"/>
          <w:b/>
          <w:bCs/>
          <w:color w:val="auto"/>
          <w:sz w:val="32"/>
          <w:szCs w:val="32"/>
          <w:highlight w:val="none"/>
          <w:lang w:val="en-US" w:eastAsia="zh-CN"/>
        </w:rPr>
        <w:t>快速发展。</w:t>
      </w:r>
      <w:r>
        <w:rPr>
          <w:rFonts w:hint="eastAsia" w:ascii="仿宋_GB2312" w:hAnsi="仿宋_GB2312" w:eastAsia="仿宋_GB2312" w:cs="仿宋_GB2312"/>
          <w:i w:val="0"/>
          <w:iCs w:val="0"/>
          <w:caps w:val="0"/>
          <w:color w:val="auto"/>
          <w:spacing w:val="0"/>
          <w:sz w:val="32"/>
          <w:szCs w:val="32"/>
          <w:highlight w:val="none"/>
          <w:shd w:val="clear" w:fill="FFFFFF"/>
        </w:rPr>
        <w:t>深入实施乡村振兴“6＋6”全产业链建设行动，宾阳鸽、宾阳青梅、宾阳富硒鸡蛋、宾阳富硒香米</w:t>
      </w:r>
      <w:r>
        <w:rPr>
          <w:rFonts w:hint="eastAsia" w:ascii="仿宋_GB2312" w:hAnsi="仿宋_GB2312" w:cs="仿宋_GB2312"/>
          <w:i w:val="0"/>
          <w:iCs w:val="0"/>
          <w:caps w:val="0"/>
          <w:color w:val="auto"/>
          <w:spacing w:val="0"/>
          <w:sz w:val="32"/>
          <w:szCs w:val="32"/>
          <w:highlight w:val="none"/>
          <w:shd w:val="clear" w:fill="FFFFFF"/>
          <w:lang w:val="en-US" w:eastAsia="zh-CN"/>
        </w:rPr>
        <w:t>等</w:t>
      </w:r>
      <w:r>
        <w:rPr>
          <w:rFonts w:hint="eastAsia" w:ascii="仿宋_GB2312" w:hAnsi="仿宋_GB2312" w:eastAsia="仿宋_GB2312" w:cs="仿宋_GB2312"/>
          <w:i w:val="0"/>
          <w:iCs w:val="0"/>
          <w:caps w:val="0"/>
          <w:color w:val="auto"/>
          <w:spacing w:val="0"/>
          <w:sz w:val="32"/>
          <w:szCs w:val="32"/>
          <w:highlight w:val="none"/>
          <w:shd w:val="clear" w:fill="FFFFFF"/>
        </w:rPr>
        <w:t>特色品牌</w:t>
      </w:r>
      <w:r>
        <w:rPr>
          <w:rFonts w:hint="eastAsia" w:ascii="仿宋_GB2312" w:hAnsi="仿宋_GB2312" w:cs="仿宋_GB2312"/>
          <w:i w:val="0"/>
          <w:iCs w:val="0"/>
          <w:caps w:val="0"/>
          <w:color w:val="auto"/>
          <w:spacing w:val="0"/>
          <w:sz w:val="32"/>
          <w:szCs w:val="32"/>
          <w:highlight w:val="none"/>
          <w:shd w:val="clear" w:fill="FFFFFF"/>
          <w:lang w:val="en-US" w:eastAsia="zh-CN"/>
        </w:rPr>
        <w:t>声名远播，特色产品发展成果丰硕</w:t>
      </w:r>
      <w:r>
        <w:rPr>
          <w:rFonts w:hint="eastAsia" w:ascii="仿宋_GB2312" w:hAnsi="仿宋_GB2312" w:cs="仿宋_GB2312"/>
          <w:i w:val="0"/>
          <w:iCs w:val="0"/>
          <w:caps w:val="0"/>
          <w:color w:val="auto"/>
          <w:spacing w:val="0"/>
          <w:sz w:val="32"/>
          <w:szCs w:val="32"/>
          <w:highlight w:val="none"/>
          <w:shd w:val="clear" w:fill="FFFFFF"/>
          <w:lang w:eastAsia="zh-CN"/>
        </w:rPr>
        <w:t>。</w:t>
      </w:r>
      <w:r>
        <w:rPr>
          <w:rFonts w:hint="eastAsia" w:ascii="仿宋_GB2312" w:hAnsi="仿宋_GB2312" w:cs="Times New Roman"/>
          <w:color w:val="auto"/>
          <w:sz w:val="32"/>
          <w:szCs w:val="32"/>
          <w:highlight w:val="none"/>
          <w:lang w:val="en-US" w:eastAsia="zh-CN"/>
        </w:rPr>
        <w:t>粮食安全根基不断夯实</w:t>
      </w:r>
      <w:r>
        <w:rPr>
          <w:rFonts w:hint="eastAsia" w:ascii="仿宋_GB2312" w:hAnsi="仿宋_GB2312" w:cs="仿宋_GB2312"/>
          <w:i w:val="0"/>
          <w:iCs w:val="0"/>
          <w:caps w:val="0"/>
          <w:color w:val="auto"/>
          <w:spacing w:val="0"/>
          <w:sz w:val="32"/>
          <w:szCs w:val="32"/>
          <w:highlight w:val="none"/>
          <w:shd w:val="clear" w:fill="FFFFFF"/>
          <w:lang w:eastAsia="zh-CN"/>
        </w:rPr>
        <w:t>，</w:t>
      </w:r>
      <w:r>
        <w:rPr>
          <w:rFonts w:hint="eastAsia" w:ascii="仿宋_GB2312" w:hAnsi="仿宋_GB2312" w:cs="Times New Roman"/>
          <w:color w:val="auto"/>
          <w:sz w:val="32"/>
          <w:szCs w:val="32"/>
          <w:highlight w:val="none"/>
          <w:lang w:val="en-US" w:eastAsia="zh-CN"/>
        </w:rPr>
        <w:t>粮食产量稳居全区前列，连续五年实现面积、单产、总产“三增长”；农业产业量质齐升，水稻、禽蛋、肉鸽产业规模居全区前列，</w:t>
      </w:r>
      <w:r>
        <w:rPr>
          <w:rFonts w:hint="eastAsia" w:ascii="仿宋_GB2312" w:hAnsi="仿宋_GB2312" w:eastAsia="仿宋_GB2312" w:cs="仿宋_GB2312"/>
          <w:color w:val="auto"/>
          <w:highlight w:val="none"/>
          <w:u w:val="none" w:color="auto"/>
          <w:lang w:val="en-US" w:eastAsia="zh-CN"/>
        </w:rPr>
        <w:t>现有2个国家地理标志、2个道地药材，“古辣香米”等特色品牌享誉区内外，</w:t>
      </w:r>
      <w:r>
        <w:rPr>
          <w:rFonts w:hint="eastAsia" w:ascii="仿宋_GB2312" w:hAnsi="仿宋_GB2312" w:cs="Times New Roman"/>
          <w:color w:val="auto"/>
          <w:sz w:val="32"/>
          <w:szCs w:val="32"/>
          <w:highlight w:val="none"/>
          <w:lang w:val="en-US" w:eastAsia="zh-CN"/>
        </w:rPr>
        <w:t>2024年跻身中国地标粮油品牌声誉榜第33名；乡村产业融合发展成效显著，建成国家级现代农业示范区、宾阳县现代农业产业园、国家农业产业强镇（古辣镇）等7个区级以上载体，累计建成高标准农田71.8万亩、富硒优质稻种植6万亩。</w:t>
      </w:r>
    </w:p>
    <w:p w14:paraId="3235A660">
      <w:pPr>
        <w:widowControl/>
        <w:pBdr>
          <w:top w:val="none" w:color="auto" w:sz="0" w:space="0"/>
          <w:left w:val="none" w:color="auto" w:sz="0" w:space="0"/>
          <w:right w:val="none" w:color="auto" w:sz="0" w:space="0"/>
        </w:pBdr>
        <w:jc w:val="both"/>
        <w:rPr>
          <w:rFonts w:hint="default" w:cs="Times New Roman"/>
          <w:color w:val="auto"/>
          <w:sz w:val="44"/>
          <w:szCs w:val="24"/>
          <w:highlight w:val="none"/>
          <w:lang w:val="en-US" w:eastAsia="zh-CN"/>
        </w:rPr>
      </w:pPr>
      <w:r>
        <w:rPr>
          <w:rFonts w:hint="default" w:eastAsia="仿宋_GB2312" w:cs="Times New Roman" w:asciiTheme="minorAscii" w:hAnsiTheme="minorAscii"/>
          <w:b/>
          <w:bCs/>
          <w:color w:val="auto"/>
          <w:kern w:val="2"/>
          <w:sz w:val="32"/>
          <w:szCs w:val="32"/>
          <w:highlight w:val="none"/>
          <w:lang w:val="en-US" w:eastAsia="zh-CN" w:bidi="ar-SA"/>
        </w:rPr>
        <w:t>基础设施不断完善，交通网络日益健全</w:t>
      </w:r>
      <w:r>
        <w:rPr>
          <w:rFonts w:hint="eastAsia" w:eastAsia="仿宋_GB2312" w:cs="Times New Roman" w:asciiTheme="minorAscii" w:hAnsiTheme="minorAscii"/>
          <w:b/>
          <w:bCs/>
          <w:color w:val="auto"/>
          <w:kern w:val="2"/>
          <w:sz w:val="32"/>
          <w:szCs w:val="32"/>
          <w:highlight w:val="none"/>
          <w:lang w:val="en-US" w:eastAsia="zh-CN" w:bidi="ar-SA"/>
        </w:rPr>
        <w:t>。</w:t>
      </w:r>
      <w:r>
        <w:rPr>
          <w:rFonts w:hint="eastAsia" w:eastAsia="仿宋_GB2312" w:cs="Times New Roman" w:asciiTheme="minorAscii" w:hAnsiTheme="minorAscii"/>
          <w:b w:val="0"/>
          <w:bCs w:val="0"/>
          <w:color w:val="auto"/>
          <w:kern w:val="2"/>
          <w:sz w:val="32"/>
          <w:szCs w:val="32"/>
          <w:highlight w:val="none"/>
          <w:lang w:val="en-US" w:eastAsia="zh-CN" w:bidi="ar-SA"/>
        </w:rPr>
        <w:t>交通路网密度显著提升</w:t>
      </w:r>
      <w:r>
        <w:rPr>
          <w:rFonts w:hint="eastAsia" w:cs="Times New Roman"/>
          <w:b w:val="0"/>
          <w:bCs w:val="0"/>
          <w:color w:val="auto"/>
          <w:kern w:val="2"/>
          <w:sz w:val="32"/>
          <w:szCs w:val="32"/>
          <w:highlight w:val="none"/>
          <w:lang w:val="en-US" w:eastAsia="zh-CN" w:bidi="ar-SA"/>
        </w:rPr>
        <w:t>，</w:t>
      </w:r>
      <w:r>
        <w:rPr>
          <w:rFonts w:hint="eastAsia" w:ascii="仿宋_GB2312" w:hAnsi="仿宋_GB2312" w:eastAsia="仿宋_GB2312" w:cs="仿宋_GB2312"/>
          <w:color w:val="auto"/>
          <w:highlight w:val="none"/>
          <w:u w:val="none" w:color="auto"/>
          <w:lang w:val="en-US" w:eastAsia="zh-CN"/>
        </w:rPr>
        <w:t>三南高速、宾钦高速、上宾横高速相继建成通车，构建“2+N”（2条高铁+N条</w:t>
      </w:r>
      <w:r>
        <w:rPr>
          <w:rFonts w:hint="eastAsia" w:ascii="仿宋_GB2312" w:hAnsi="仿宋_GB2312" w:eastAsia="仿宋_GB2312" w:cs="仿宋_GB2312"/>
          <w:color w:val="auto"/>
          <w:sz w:val="32"/>
          <w:szCs w:val="32"/>
          <w:highlight w:val="none"/>
          <w:u w:val="none" w:color="auto"/>
        </w:rPr>
        <w:t>高速公路</w:t>
      </w:r>
      <w:r>
        <w:rPr>
          <w:rFonts w:hint="eastAsia" w:ascii="仿宋_GB2312" w:hAnsi="仿宋_GB2312" w:eastAsia="仿宋_GB2312" w:cs="仿宋_GB2312"/>
          <w:color w:val="auto"/>
          <w:sz w:val="32"/>
          <w:szCs w:val="32"/>
          <w:highlight w:val="none"/>
          <w:u w:val="none" w:color="auto"/>
          <w:lang w:eastAsia="zh-CN"/>
        </w:rPr>
        <w:t>、一级路、</w:t>
      </w:r>
      <w:r>
        <w:rPr>
          <w:rFonts w:hint="eastAsia" w:ascii="仿宋_GB2312" w:hAnsi="仿宋_GB2312" w:eastAsia="仿宋_GB2312" w:cs="仿宋_GB2312"/>
          <w:color w:val="auto"/>
          <w:sz w:val="32"/>
          <w:szCs w:val="32"/>
          <w:highlight w:val="none"/>
          <w:u w:val="none" w:color="auto"/>
        </w:rPr>
        <w:t>二级公路</w:t>
      </w:r>
      <w:r>
        <w:rPr>
          <w:rFonts w:hint="eastAsia" w:ascii="仿宋_GB2312" w:hAnsi="仿宋_GB2312" w:eastAsia="仿宋_GB2312" w:cs="仿宋_GB2312"/>
          <w:color w:val="auto"/>
          <w:highlight w:val="none"/>
          <w:u w:val="none" w:color="auto"/>
          <w:lang w:val="en-US" w:eastAsia="zh-CN"/>
        </w:rPr>
        <w:t>等为补充）立体交通格局，实现“镇镇通高速”，成为全区首个拥有绕城高速公路的县域</w:t>
      </w:r>
      <w:r>
        <w:rPr>
          <w:rFonts w:hint="eastAsia" w:ascii="仿宋_GB2312" w:hAnsi="仿宋_GB2312" w:eastAsia="仿宋_GB2312" w:cs="Times New Roman"/>
          <w:color w:val="auto"/>
          <w:sz w:val="32"/>
          <w:szCs w:val="32"/>
          <w:highlight w:val="none"/>
          <w:lang w:val="en-US" w:eastAsia="zh-CN"/>
        </w:rPr>
        <w:t>，融入南宁1小时都市圈</w:t>
      </w:r>
      <w:r>
        <w:rPr>
          <w:rFonts w:hint="eastAsia" w:ascii="仿宋_GB2312" w:hAnsi="仿宋_GB2312" w:cs="Times New Roman"/>
          <w:color w:val="auto"/>
          <w:sz w:val="32"/>
          <w:szCs w:val="32"/>
          <w:highlight w:val="none"/>
          <w:lang w:val="en-US" w:eastAsia="zh-CN"/>
        </w:rPr>
        <w:t>；</w:t>
      </w:r>
      <w:r>
        <w:rPr>
          <w:rFonts w:hint="eastAsia" w:ascii="仿宋_GB2312" w:hAnsi="仿宋_GB2312" w:eastAsia="仿宋_GB2312" w:cs="Times New Roman"/>
          <w:color w:val="auto"/>
          <w:sz w:val="32"/>
          <w:szCs w:val="32"/>
          <w:highlight w:val="none"/>
          <w:lang w:val="en-US" w:eastAsia="zh-CN"/>
        </w:rPr>
        <w:t>有序推进城乡客运一体化发展，优化城乡客运班线，</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全县</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各</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村全部</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实现</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客车通</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达</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，通达率达到100%</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w:t>
      </w:r>
      <w:r>
        <w:rPr>
          <w:rFonts w:hint="eastAsia" w:ascii="仿宋_GB2312" w:hAnsi="仿宋_GB2312" w:cs="Times New Roman"/>
          <w:color w:val="auto"/>
          <w:sz w:val="32"/>
          <w:szCs w:val="32"/>
          <w:highlight w:val="none"/>
          <w:lang w:val="en-US" w:eastAsia="zh-CN"/>
        </w:rPr>
        <w:t>人民出行更加轻松高效；</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水利设施不断夯实</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清水河提水工程、乐滩水库引水灌区二期工程完成建设，六冯灌区续建配套与节水改造工程实现开工，城乡供水一体化供水网及水网配套工程加快推进</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w:t>
      </w:r>
      <w:r>
        <w:rPr>
          <w:rFonts w:hint="eastAsia" w:ascii="仿宋_GB2312" w:hAnsi="仿宋_GB2312" w:eastAsia="仿宋_GB2312" w:cs="Times New Roman"/>
          <w:color w:val="auto"/>
          <w:sz w:val="32"/>
          <w:szCs w:val="32"/>
          <w:highlight w:val="none"/>
          <w:lang w:val="en-US" w:eastAsia="zh-CN"/>
        </w:rPr>
        <w:t>环北部湾广西水资源配置工程宾阳大庄支线建成并于2024年12月26日实现正式通水，</w:t>
      </w:r>
      <w:r>
        <w:rPr>
          <w:rFonts w:hint="eastAsia" w:ascii="仿宋_GB2312" w:hAnsi="仿宋_GB2312" w:cs="Times New Roman"/>
          <w:color w:val="auto"/>
          <w:sz w:val="32"/>
          <w:szCs w:val="32"/>
          <w:highlight w:val="none"/>
          <w:lang w:val="en-US" w:eastAsia="zh-CN"/>
        </w:rPr>
        <w:t>切实</w:t>
      </w:r>
      <w:r>
        <w:rPr>
          <w:rFonts w:hint="eastAsia" w:ascii="仿宋_GB2312" w:hAnsi="仿宋_GB2312" w:eastAsia="仿宋_GB2312" w:cs="Times New Roman"/>
          <w:color w:val="auto"/>
          <w:sz w:val="32"/>
          <w:szCs w:val="32"/>
          <w:highlight w:val="none"/>
          <w:lang w:val="en-US" w:eastAsia="zh-CN"/>
        </w:rPr>
        <w:t>解决</w:t>
      </w:r>
      <w:r>
        <w:rPr>
          <w:rFonts w:hint="eastAsia" w:ascii="仿宋_GB2312" w:hAnsi="仿宋_GB2312" w:cs="Times New Roman"/>
          <w:color w:val="auto"/>
          <w:sz w:val="32"/>
          <w:szCs w:val="32"/>
          <w:highlight w:val="none"/>
          <w:lang w:val="en-US" w:eastAsia="zh-CN"/>
        </w:rPr>
        <w:t>43余</w:t>
      </w:r>
      <w:r>
        <w:rPr>
          <w:rFonts w:hint="eastAsia" w:ascii="仿宋_GB2312" w:hAnsi="仿宋_GB2312" w:eastAsia="仿宋_GB2312" w:cs="Times New Roman"/>
          <w:color w:val="auto"/>
          <w:sz w:val="32"/>
          <w:szCs w:val="32"/>
          <w:highlight w:val="none"/>
          <w:lang w:val="en-US" w:eastAsia="zh-CN"/>
        </w:rPr>
        <w:t>万</w:t>
      </w:r>
      <w:r>
        <w:rPr>
          <w:rFonts w:hint="eastAsia" w:ascii="仿宋_GB2312" w:hAnsi="仿宋_GB2312" w:cs="Times New Roman"/>
          <w:color w:val="auto"/>
          <w:sz w:val="32"/>
          <w:szCs w:val="32"/>
          <w:highlight w:val="none"/>
          <w:lang w:val="en-US" w:eastAsia="zh-CN"/>
        </w:rPr>
        <w:t>城乡</w:t>
      </w:r>
      <w:r>
        <w:rPr>
          <w:rFonts w:hint="eastAsia" w:ascii="仿宋_GB2312" w:hAnsi="仿宋_GB2312" w:eastAsia="仿宋_GB2312" w:cs="Times New Roman"/>
          <w:color w:val="auto"/>
          <w:sz w:val="32"/>
          <w:szCs w:val="32"/>
          <w:highlight w:val="none"/>
          <w:lang w:val="en-US" w:eastAsia="zh-CN"/>
        </w:rPr>
        <w:t>居民</w:t>
      </w:r>
      <w:r>
        <w:rPr>
          <w:rFonts w:hint="eastAsia" w:ascii="仿宋_GB2312" w:hAnsi="仿宋_GB2312" w:cs="Times New Roman"/>
          <w:color w:val="auto"/>
          <w:sz w:val="32"/>
          <w:szCs w:val="32"/>
          <w:highlight w:val="none"/>
          <w:lang w:val="en-US" w:eastAsia="zh-CN"/>
        </w:rPr>
        <w:t>“</w:t>
      </w:r>
      <w:r>
        <w:rPr>
          <w:rFonts w:hint="eastAsia" w:ascii="仿宋_GB2312" w:hAnsi="仿宋_GB2312" w:eastAsia="仿宋_GB2312" w:cs="Times New Roman"/>
          <w:color w:val="auto"/>
          <w:sz w:val="32"/>
          <w:szCs w:val="32"/>
          <w:highlight w:val="none"/>
          <w:lang w:val="en-US" w:eastAsia="zh-CN"/>
        </w:rPr>
        <w:t>饮水难</w:t>
      </w:r>
      <w:r>
        <w:rPr>
          <w:rFonts w:hint="eastAsia" w:ascii="仿宋_GB2312" w:hAnsi="仿宋_GB2312" w:cs="Times New Roman"/>
          <w:color w:val="auto"/>
          <w:sz w:val="32"/>
          <w:szCs w:val="32"/>
          <w:highlight w:val="none"/>
          <w:lang w:val="en-US" w:eastAsia="zh-CN"/>
        </w:rPr>
        <w:t>”</w:t>
      </w:r>
      <w:r>
        <w:rPr>
          <w:rFonts w:hint="eastAsia" w:ascii="仿宋_GB2312" w:hAnsi="仿宋_GB2312" w:eastAsia="仿宋_GB2312" w:cs="Times New Roman"/>
          <w:color w:val="auto"/>
          <w:sz w:val="32"/>
          <w:szCs w:val="32"/>
          <w:highlight w:val="none"/>
          <w:lang w:val="en-US" w:eastAsia="zh-CN"/>
        </w:rPr>
        <w:t>问题</w:t>
      </w:r>
      <w:r>
        <w:rPr>
          <w:rFonts w:hint="eastAsia" w:ascii="仿宋_GB2312" w:hAnsi="仿宋_GB2312" w:cs="Times New Roman"/>
          <w:color w:val="auto"/>
          <w:sz w:val="32"/>
          <w:szCs w:val="32"/>
          <w:highlight w:val="none"/>
          <w:lang w:val="en-US" w:eastAsia="zh-CN"/>
        </w:rPr>
        <w:t>；</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推进城市更新－背街小巷项目建设，改造6条特色型城市背街小巷，城镇面貌进一步改善</w:t>
      </w:r>
      <w:r>
        <w:rPr>
          <w:rFonts w:hint="eastAsia" w:ascii="仿宋_GB2312" w:hAnsi="仿宋_GB2312" w:cs="仿宋_GB2312"/>
          <w:i w:val="0"/>
          <w:iCs w:val="0"/>
          <w:caps w:val="0"/>
          <w:color w:val="auto"/>
          <w:spacing w:val="0"/>
          <w:kern w:val="2"/>
          <w:sz w:val="32"/>
          <w:szCs w:val="32"/>
          <w:highlight w:val="none"/>
          <w:shd w:val="clear" w:fill="FFFFFF"/>
          <w:lang w:val="en-US" w:eastAsia="zh-CN" w:bidi="ar-SA"/>
        </w:rPr>
        <w:t>，居民幸福指数进一步提升</w:t>
      </w:r>
      <w:r>
        <w:rPr>
          <w:rFonts w:hint="eastAsia" w:ascii="仿宋_GB2312" w:hAnsi="仿宋_GB2312" w:eastAsia="仿宋_GB2312" w:cs="仿宋_GB2312"/>
          <w:i w:val="0"/>
          <w:iCs w:val="0"/>
          <w:caps w:val="0"/>
          <w:color w:val="auto"/>
          <w:spacing w:val="0"/>
          <w:kern w:val="2"/>
          <w:sz w:val="32"/>
          <w:szCs w:val="32"/>
          <w:highlight w:val="none"/>
          <w:shd w:val="clear" w:fill="FFFFFF"/>
          <w:lang w:val="en-US" w:eastAsia="zh-CN" w:bidi="ar-SA"/>
        </w:rPr>
        <w:t>。</w:t>
      </w:r>
    </w:p>
    <w:p w14:paraId="1326222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cs="Times New Roman"/>
          <w:color w:val="auto"/>
          <w:sz w:val="32"/>
          <w:szCs w:val="32"/>
          <w:highlight w:val="none"/>
          <w:lang w:val="en-US" w:eastAsia="zh-CN"/>
        </w:rPr>
      </w:pPr>
      <w:r>
        <w:rPr>
          <w:rFonts w:hint="default" w:cs="Times New Roman"/>
          <w:b/>
          <w:bCs/>
          <w:color w:val="auto"/>
          <w:sz w:val="32"/>
          <w:szCs w:val="32"/>
          <w:highlight w:val="none"/>
          <w:lang w:val="en-US" w:eastAsia="zh-CN"/>
        </w:rPr>
        <w:t>乡村振兴成效</w:t>
      </w:r>
      <w:r>
        <w:rPr>
          <w:rFonts w:hint="eastAsia" w:cs="Times New Roman"/>
          <w:b/>
          <w:bCs/>
          <w:color w:val="auto"/>
          <w:sz w:val="32"/>
          <w:szCs w:val="32"/>
          <w:highlight w:val="none"/>
          <w:lang w:val="en-US" w:eastAsia="zh-CN"/>
        </w:rPr>
        <w:t>扎实</w:t>
      </w:r>
      <w:r>
        <w:rPr>
          <w:rFonts w:hint="default" w:ascii="Times New Roman" w:hAnsi="Times New Roman" w:cs="Times New Roman"/>
          <w:b/>
          <w:bCs/>
          <w:color w:val="auto"/>
          <w:sz w:val="32"/>
          <w:szCs w:val="32"/>
          <w:highlight w:val="none"/>
          <w:lang w:val="en-US" w:eastAsia="zh-CN"/>
        </w:rPr>
        <w:t>，</w:t>
      </w:r>
      <w:r>
        <w:rPr>
          <w:rFonts w:ascii="Times New Roman" w:hAnsi="Times New Roman" w:eastAsia="仿宋_GB2312" w:cs="Times New Roman"/>
          <w:b/>
          <w:bCs/>
          <w:i w:val="0"/>
          <w:iCs w:val="0"/>
          <w:caps w:val="0"/>
          <w:color w:val="auto"/>
          <w:spacing w:val="0"/>
          <w:sz w:val="32"/>
          <w:szCs w:val="32"/>
          <w:highlight w:val="none"/>
          <w:shd w:val="clear"/>
        </w:rPr>
        <w:t>文旅融合成果丰硕</w:t>
      </w:r>
      <w:r>
        <w:rPr>
          <w:rFonts w:hint="default" w:ascii="Times New Roman" w:hAnsi="Times New Roman" w:cs="Times New Roman"/>
          <w:b/>
          <w:bCs/>
          <w:color w:val="auto"/>
          <w:sz w:val="32"/>
          <w:szCs w:val="32"/>
          <w:highlight w:val="none"/>
          <w:lang w:val="en-US" w:eastAsia="zh-CN"/>
        </w:rPr>
        <w:t>。</w:t>
      </w:r>
      <w:r>
        <w:rPr>
          <w:rFonts w:hint="eastAsia" w:ascii="仿宋_GB2312" w:hAnsi="仿宋_GB2312" w:cs="Times New Roman"/>
          <w:color w:val="auto"/>
          <w:sz w:val="32"/>
          <w:szCs w:val="32"/>
          <w:highlight w:val="none"/>
          <w:lang w:val="en-US" w:eastAsia="zh-CN"/>
        </w:rPr>
        <w:t>乡村全面振兴及宜居宜业示范创建有序推进，获评广西“农文旅”融合发展乡村振兴示范区，入选</w:t>
      </w:r>
      <w:r>
        <w:rPr>
          <w:rFonts w:hint="eastAsia" w:ascii="仿宋_GB2312" w:hAnsi="仿宋" w:eastAsia="仿宋_GB2312" w:cs="仿宋"/>
          <w:color w:val="auto"/>
          <w:sz w:val="32"/>
          <w:szCs w:val="32"/>
          <w:highlight w:val="none"/>
          <w:u w:val="none" w:color="auto"/>
        </w:rPr>
        <w:t>首批国家级农业现代化示范区</w:t>
      </w:r>
      <w:r>
        <w:rPr>
          <w:rFonts w:hint="eastAsia" w:ascii="仿宋_GB2312" w:hAnsi="仿宋_GB2312" w:cs="Times New Roman"/>
          <w:color w:val="auto"/>
          <w:sz w:val="32"/>
          <w:szCs w:val="32"/>
          <w:highlight w:val="none"/>
          <w:lang w:val="en-US" w:eastAsia="zh-CN"/>
        </w:rPr>
        <w:t>。</w:t>
      </w:r>
      <w:r>
        <w:rPr>
          <w:rFonts w:hint="default" w:cs="Times New Roman"/>
          <w:b w:val="0"/>
          <w:bCs w:val="0"/>
          <w:color w:val="auto"/>
          <w:sz w:val="32"/>
          <w:szCs w:val="32"/>
          <w:highlight w:val="none"/>
          <w:lang w:val="en-US" w:eastAsia="zh-CN"/>
        </w:rPr>
        <w:t>文化影响力持续提升，</w:t>
      </w:r>
      <w:r>
        <w:rPr>
          <w:rFonts w:hint="eastAsia" w:ascii="仿宋_GB2312" w:hAnsi="仿宋_GB2312" w:cs="Times New Roman"/>
          <w:color w:val="auto"/>
          <w:sz w:val="32"/>
          <w:szCs w:val="32"/>
          <w:highlight w:val="none"/>
          <w:lang w:val="en-US" w:eastAsia="zh-CN"/>
        </w:rPr>
        <w:t>宾阳炮龙节、宾阳壮锦分别获评中华体育文化优秀项目及全国“一县一品”特色文化艺术典型案例，</w:t>
      </w:r>
      <w:r>
        <w:rPr>
          <w:rFonts w:hint="eastAsia" w:ascii="仿宋_GB2312" w:hAnsi="仿宋_GB2312" w:eastAsia="仿宋_GB2312" w:cs="Times New Roman"/>
          <w:color w:val="auto"/>
          <w:sz w:val="32"/>
          <w:szCs w:val="32"/>
          <w:highlight w:val="none"/>
          <w:u w:val="none"/>
          <w:lang w:eastAsia="zh-CN"/>
        </w:rPr>
        <w:t>《南宁市宾阳炮龙文化保护规定》获自治区十四届人大常委会批准</w:t>
      </w:r>
      <w:r>
        <w:rPr>
          <w:rFonts w:hint="eastAsia" w:ascii="仿宋_GB2312" w:hAnsi="仿宋_GB2312" w:eastAsia="仿宋_GB2312" w:cs="Times New Roman"/>
          <w:color w:val="auto"/>
          <w:sz w:val="32"/>
          <w:szCs w:val="32"/>
          <w:highlight w:val="none"/>
          <w:u w:val="none"/>
          <w:lang w:val="en-US" w:eastAsia="zh-CN"/>
        </w:rPr>
        <w:t>后正式</w:t>
      </w:r>
      <w:r>
        <w:rPr>
          <w:rFonts w:hint="eastAsia" w:ascii="仿宋_GB2312" w:hAnsi="仿宋_GB2312" w:eastAsia="仿宋_GB2312" w:cs="Times New Roman"/>
          <w:color w:val="auto"/>
          <w:sz w:val="32"/>
          <w:szCs w:val="32"/>
          <w:highlight w:val="none"/>
          <w:u w:val="none"/>
          <w:lang w:eastAsia="zh-CN"/>
        </w:rPr>
        <w:t>实施，</w:t>
      </w:r>
      <w:r>
        <w:rPr>
          <w:rFonts w:hint="eastAsia" w:ascii="仿宋_GB2312" w:hAnsi="仿宋_GB2312" w:cs="Times New Roman"/>
          <w:color w:val="auto"/>
          <w:sz w:val="32"/>
          <w:szCs w:val="32"/>
          <w:highlight w:val="none"/>
          <w:lang w:val="en-US" w:eastAsia="zh-CN"/>
        </w:rPr>
        <w:t>“十四五”期间累计接待游客约2114万人次，旅游收入达203.7亿元，</w:t>
      </w:r>
      <w:r>
        <w:rPr>
          <w:rFonts w:hint="eastAsia" w:ascii="仿宋_GB2312" w:hAnsi="仿宋_GB2312" w:cs="仿宋_GB2312"/>
          <w:color w:val="auto"/>
          <w:sz w:val="32"/>
          <w:szCs w:val="32"/>
          <w:highlight w:val="none"/>
          <w:lang w:val="en-US" w:eastAsia="zh-CN"/>
        </w:rPr>
        <w:t>其中</w:t>
      </w:r>
      <w:r>
        <w:rPr>
          <w:rFonts w:hint="eastAsia" w:ascii="仿宋_GB2312" w:hAnsi="仿宋_GB2312" w:cs="Times New Roman"/>
          <w:color w:val="auto"/>
          <w:sz w:val="32"/>
          <w:szCs w:val="32"/>
          <w:highlight w:val="none"/>
          <w:lang w:val="en-US" w:eastAsia="zh-CN"/>
        </w:rPr>
        <w:t>2025年炮龙节吸引了</w:t>
      </w:r>
      <w:r>
        <w:rPr>
          <w:rFonts w:hint="default" w:ascii="仿宋_GB2312" w:hAnsi="仿宋_GB2312" w:cs="Times New Roman"/>
          <w:color w:val="auto"/>
          <w:sz w:val="32"/>
          <w:szCs w:val="32"/>
          <w:highlight w:val="none"/>
          <w:lang w:val="en-US" w:eastAsia="zh-CN"/>
        </w:rPr>
        <w:t>50</w:t>
      </w:r>
      <w:r>
        <w:rPr>
          <w:rFonts w:hint="eastAsia" w:ascii="仿宋_GB2312" w:hAnsi="仿宋_GB2312" w:cs="Times New Roman"/>
          <w:color w:val="auto"/>
          <w:sz w:val="32"/>
          <w:szCs w:val="32"/>
          <w:highlight w:val="none"/>
          <w:lang w:val="en-US" w:eastAsia="zh-CN"/>
        </w:rPr>
        <w:t>余</w:t>
      </w:r>
      <w:r>
        <w:rPr>
          <w:rFonts w:hint="default" w:ascii="仿宋_GB2312" w:hAnsi="仿宋_GB2312" w:cs="Times New Roman"/>
          <w:color w:val="auto"/>
          <w:sz w:val="32"/>
          <w:szCs w:val="32"/>
          <w:highlight w:val="none"/>
          <w:lang w:val="en-US" w:eastAsia="zh-CN"/>
        </w:rPr>
        <w:t>万游客，拉动了社会消费约3.5亿元，同比增长7.6%</w:t>
      </w:r>
      <w:r>
        <w:rPr>
          <w:rFonts w:hint="eastAsia" w:ascii="仿宋_GB2312" w:hAnsi="仿宋_GB2312" w:cs="Times New Roman"/>
          <w:color w:val="auto"/>
          <w:sz w:val="32"/>
          <w:szCs w:val="32"/>
          <w:highlight w:val="none"/>
          <w:lang w:val="en-US" w:eastAsia="zh-CN"/>
        </w:rPr>
        <w:t>；充分发挥“古辣香米”国家地标和“中国炮龙之乡”的品牌影响力，带动富硒古辣香米、富硒鸡蛋、宾阳鸽、宾阳青梅等“桂字号”品牌特色产业发展；开展新春提振消费系列活动，</w:t>
      </w:r>
      <w:r>
        <w:rPr>
          <w:rFonts w:hint="default" w:ascii="仿宋_GB2312" w:hAnsi="仿宋_GB2312" w:cs="Times New Roman"/>
          <w:color w:val="auto"/>
          <w:sz w:val="32"/>
          <w:szCs w:val="32"/>
          <w:highlight w:val="none"/>
          <w:lang w:val="en-US" w:eastAsia="zh-CN"/>
        </w:rPr>
        <w:t>挖掘“夜游”“夜食”“夜购”等消费项目，</w:t>
      </w:r>
      <w:r>
        <w:rPr>
          <w:rFonts w:hint="eastAsia" w:ascii="仿宋_GB2312" w:hAnsi="仿宋_GB2312" w:cs="Times New Roman"/>
          <w:color w:val="auto"/>
          <w:sz w:val="32"/>
          <w:szCs w:val="32"/>
          <w:highlight w:val="none"/>
          <w:u w:val="none"/>
          <w:lang w:val="en-US" w:eastAsia="zh-CN"/>
        </w:rPr>
        <w:t>宾阳凤凰湖炮龙AI市集等项目运营，</w:t>
      </w:r>
      <w:r>
        <w:rPr>
          <w:rFonts w:hint="default" w:ascii="仿宋_GB2312" w:hAnsi="仿宋_GB2312" w:cs="Times New Roman"/>
          <w:color w:val="auto"/>
          <w:sz w:val="32"/>
          <w:szCs w:val="32"/>
          <w:highlight w:val="none"/>
          <w:lang w:val="en-US" w:eastAsia="zh-CN"/>
        </w:rPr>
        <w:t>打造</w:t>
      </w:r>
      <w:r>
        <w:rPr>
          <w:rFonts w:hint="eastAsia" w:ascii="仿宋_GB2312" w:hAnsi="仿宋_GB2312" w:cs="Times New Roman"/>
          <w:color w:val="auto"/>
          <w:sz w:val="32"/>
          <w:szCs w:val="32"/>
          <w:highlight w:val="none"/>
          <w:u w:val="none"/>
          <w:lang w:val="en-US" w:eastAsia="zh-CN"/>
        </w:rPr>
        <w:t>了</w:t>
      </w:r>
      <w:r>
        <w:rPr>
          <w:rFonts w:hint="default" w:ascii="仿宋_GB2312" w:hAnsi="仿宋_GB2312" w:cs="Times New Roman"/>
          <w:color w:val="auto"/>
          <w:sz w:val="32"/>
          <w:szCs w:val="32"/>
          <w:highlight w:val="none"/>
          <w:lang w:val="en-US" w:eastAsia="zh-CN"/>
        </w:rPr>
        <w:t>独具宾阳特色“烟火气”的夜间经济</w:t>
      </w:r>
      <w:r>
        <w:rPr>
          <w:rFonts w:hint="eastAsia" w:ascii="仿宋_GB2312" w:hAnsi="仿宋_GB2312" w:cs="Times New Roman"/>
          <w:color w:val="auto"/>
          <w:sz w:val="32"/>
          <w:szCs w:val="32"/>
          <w:highlight w:val="none"/>
          <w:lang w:val="en-US" w:eastAsia="zh-CN"/>
        </w:rPr>
        <w:t>，有效推动文旅跨界融合激活乡村经济。</w:t>
      </w:r>
    </w:p>
    <w:p w14:paraId="35F942DC">
      <w:pPr>
        <w:keepNext w:val="0"/>
        <w:keepLines w:val="0"/>
        <w:pageBreakBefore w:val="0"/>
        <w:widowControl/>
        <w:pBdr>
          <w:top w:val="none" w:color="auto" w:sz="0" w:space="0"/>
          <w:left w:val="none" w:color="auto" w:sz="0" w:space="0"/>
          <w:right w:val="none" w:color="auto" w:sz="0" w:space="0"/>
        </w:pBdr>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color w:val="auto"/>
          <w:sz w:val="32"/>
          <w:szCs w:val="32"/>
          <w:highlight w:val="none"/>
          <w:lang w:val="en-US" w:eastAsia="zh-CN"/>
        </w:rPr>
      </w:pPr>
      <w:r>
        <w:rPr>
          <w:rFonts w:hint="default" w:cs="Times New Roman"/>
          <w:b/>
          <w:bCs/>
          <w:color w:val="auto"/>
          <w:sz w:val="32"/>
          <w:szCs w:val="32"/>
          <w:highlight w:val="none"/>
          <w:lang w:val="en-US" w:eastAsia="zh-CN"/>
        </w:rPr>
        <w:t>解决群众急难愁盼</w:t>
      </w:r>
      <w:r>
        <w:rPr>
          <w:rFonts w:hint="eastAsia" w:cs="Times New Roman"/>
          <w:b/>
          <w:bCs/>
          <w:color w:val="auto"/>
          <w:sz w:val="32"/>
          <w:szCs w:val="32"/>
          <w:highlight w:val="none"/>
          <w:lang w:val="en-US" w:eastAsia="zh-CN"/>
        </w:rPr>
        <w:t>，民生福祉</w:t>
      </w:r>
      <w:r>
        <w:rPr>
          <w:rFonts w:hint="default" w:cs="Times New Roman"/>
          <w:b/>
          <w:bCs/>
          <w:color w:val="auto"/>
          <w:sz w:val="32"/>
          <w:szCs w:val="32"/>
          <w:highlight w:val="none"/>
          <w:lang w:val="en-US" w:eastAsia="zh-CN"/>
        </w:rPr>
        <w:t>持续改善</w:t>
      </w:r>
      <w:r>
        <w:rPr>
          <w:rFonts w:hint="eastAsia" w:cs="Times New Roman"/>
          <w:b/>
          <w:bCs/>
          <w:color w:val="auto"/>
          <w:sz w:val="32"/>
          <w:szCs w:val="32"/>
          <w:highlight w:val="none"/>
          <w:lang w:val="en-US" w:eastAsia="zh-CN"/>
        </w:rPr>
        <w:t>。</w:t>
      </w:r>
      <w:r>
        <w:rPr>
          <w:rFonts w:hint="eastAsia" w:ascii="仿宋_GB2312" w:hAnsi="仿宋_GB2312" w:cs="Times New Roman"/>
          <w:b w:val="0"/>
          <w:bCs w:val="0"/>
          <w:color w:val="auto"/>
          <w:sz w:val="32"/>
          <w:szCs w:val="32"/>
          <w:highlight w:val="none"/>
          <w:lang w:val="en-US" w:eastAsia="zh-CN"/>
        </w:rPr>
        <w:t>居民收入稳步增长，2025年全体居民人均可支配收入较2020年实现增长x%，其中城镇居民人均可支配收入X元，较2020年增长X%，农村居民人均可支配收入X元，比2020年增长X%，城乡收入差距持续缩小；社会保障体系日益完善，实现应保尽保，城乡居民基本医疗保险覆盖82.6万人，切实兜牢民生底线；“健康宾阳”建设取得进展，3家县级公立医院获批国家三级医院，成功创建自治区首家县级医院标准版胸痛中心；教育事业普惠发展，义务教育巩固率保持100%，建成从特教到中专的完整体系；</w:t>
      </w:r>
      <w:r>
        <w:rPr>
          <w:rFonts w:hint="eastAsia" w:ascii="仿宋_GB2312" w:hAnsi="仿宋_GB2312" w:eastAsia="仿宋_GB2312" w:cs="Times New Roman"/>
          <w:color w:val="auto"/>
          <w:sz w:val="32"/>
          <w:szCs w:val="32"/>
          <w:highlight w:val="none"/>
          <w:lang w:val="en-US" w:eastAsia="zh-CN"/>
        </w:rPr>
        <w:t>生态环境持续向好，绿色发展底色鲜明，扎实推进全国农村能源革命试点县建设，空气质量优良率稳定在95%以上，主要河流水质优良，森林覆盖率达46.</w:t>
      </w:r>
      <w:r>
        <w:rPr>
          <w:rFonts w:hint="eastAsia" w:ascii="仿宋_GB2312" w:hAnsi="仿宋_GB2312" w:cs="Times New Roman"/>
          <w:color w:val="auto"/>
          <w:sz w:val="32"/>
          <w:szCs w:val="32"/>
          <w:highlight w:val="none"/>
          <w:lang w:val="en-US" w:eastAsia="zh-CN"/>
        </w:rPr>
        <w:t>1</w:t>
      </w:r>
      <w:r>
        <w:rPr>
          <w:rFonts w:hint="eastAsia" w:ascii="仿宋_GB2312" w:hAnsi="仿宋_GB2312" w:eastAsia="仿宋_GB2312" w:cs="Times New Roman"/>
          <w:color w:val="auto"/>
          <w:sz w:val="32"/>
          <w:szCs w:val="32"/>
          <w:highlight w:val="none"/>
          <w:lang w:val="en-US" w:eastAsia="zh-CN"/>
        </w:rPr>
        <w:t>%，可再生能源消费占比达45.18</w:t>
      </w:r>
      <w:r>
        <w:rPr>
          <w:rFonts w:hint="eastAsia" w:ascii="仿宋_GB2312" w:hAnsi="仿宋_GB2312" w:cs="Times New Roman"/>
          <w:color w:val="auto"/>
          <w:sz w:val="32"/>
          <w:szCs w:val="32"/>
          <w:highlight w:val="none"/>
          <w:lang w:val="en-US" w:eastAsia="zh-CN"/>
        </w:rPr>
        <w:t>%</w:t>
      </w:r>
      <w:r>
        <w:rPr>
          <w:rFonts w:hint="eastAsia" w:ascii="仿宋_GB2312" w:hAnsi="仿宋_GB2312" w:eastAsia="仿宋_GB2312" w:cs="Times New Roman"/>
          <w:color w:val="auto"/>
          <w:sz w:val="32"/>
          <w:szCs w:val="32"/>
          <w:highlight w:val="none"/>
          <w:lang w:val="en-US" w:eastAsia="zh-CN"/>
        </w:rPr>
        <w:t>，建成一批光储充放等示范项目，通过政企合作模式推动能源转型与资源循环利用</w:t>
      </w:r>
      <w:r>
        <w:rPr>
          <w:rFonts w:hint="eastAsia" w:ascii="仿宋_GB2312" w:hAnsi="仿宋_GB2312" w:cs="Times New Roman"/>
          <w:color w:val="auto"/>
          <w:sz w:val="32"/>
          <w:szCs w:val="32"/>
          <w:highlight w:val="none"/>
          <w:lang w:val="en-US" w:eastAsia="zh-CN"/>
        </w:rPr>
        <w:t>。</w:t>
      </w:r>
    </w:p>
    <w:p w14:paraId="0A464E45">
      <w:pPr>
        <w:keepNext w:val="0"/>
        <w:keepLines w:val="0"/>
        <w:pageBreakBefore w:val="0"/>
        <w:widowControl/>
        <w:suppressLineNumbers w:val="0"/>
        <w:pBdr>
          <w:top w:val="none" w:color="auto" w:sz="0" w:space="0"/>
          <w:left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jc w:val="both"/>
        <w:textAlignment w:val="auto"/>
        <w:rPr>
          <w:rFonts w:hint="eastAsia"/>
          <w:color w:val="auto"/>
          <w:highlight w:val="none"/>
          <w:lang w:eastAsia="zh-CN"/>
        </w:rPr>
      </w:pPr>
      <w:r>
        <w:rPr>
          <w:rFonts w:hint="eastAsia" w:cs="Times New Roman"/>
          <w:b/>
          <w:bCs/>
          <w:color w:val="auto"/>
          <w:sz w:val="32"/>
          <w:szCs w:val="32"/>
          <w:highlight w:val="none"/>
          <w:lang w:val="en-US" w:eastAsia="zh-CN"/>
        </w:rPr>
        <w:t>营商环境</w:t>
      </w:r>
      <w:r>
        <w:rPr>
          <w:rFonts w:hint="default" w:cs="Times New Roman"/>
          <w:b/>
          <w:bCs/>
          <w:color w:val="auto"/>
          <w:sz w:val="32"/>
          <w:szCs w:val="32"/>
          <w:highlight w:val="none"/>
          <w:lang w:val="en-US" w:eastAsia="zh-CN"/>
        </w:rPr>
        <w:t>持续优化</w:t>
      </w:r>
      <w:r>
        <w:rPr>
          <w:rFonts w:hint="eastAsia" w:cs="Times New Roman"/>
          <w:b/>
          <w:bCs/>
          <w:color w:val="auto"/>
          <w:sz w:val="32"/>
          <w:szCs w:val="32"/>
          <w:highlight w:val="none"/>
          <w:lang w:val="en-US" w:eastAsia="zh-CN"/>
        </w:rPr>
        <w:t>，政治生态持续净化。</w:t>
      </w:r>
      <w:r>
        <w:rPr>
          <w:rFonts w:hint="eastAsia" w:ascii="仿宋_GB2312" w:hAnsi="仿宋_GB2312" w:cs="Times New Roman"/>
          <w:b w:val="0"/>
          <w:bCs w:val="0"/>
          <w:color w:val="auto"/>
          <w:sz w:val="32"/>
          <w:szCs w:val="32"/>
          <w:highlight w:val="none"/>
          <w:lang w:val="en-US" w:eastAsia="zh-CN"/>
        </w:rPr>
        <w:t>全面深化改革开放，</w:t>
      </w:r>
      <w:r>
        <w:rPr>
          <w:rFonts w:hint="eastAsia" w:ascii="仿宋_GB2312" w:hAnsi="仿宋_GB2312" w:cs="Times New Roman"/>
          <w:color w:val="auto"/>
          <w:sz w:val="32"/>
          <w:szCs w:val="32"/>
          <w:highlight w:val="none"/>
          <w:lang w:val="en-US" w:eastAsia="zh-CN"/>
        </w:rPr>
        <w:t>政务服务高效便捷，聚焦企业群众高频办事场景设置“高效办成一件事”专窗，知识产权保护强化，有效注册商标超3400件，获香港优质“正”印认证证书7项，湾区认证1项，2项改革列入国家、自治区试点；民营经济根基稳固，占企业总数99%以上，贡献了全县规上工业总产值的88%，全年新增登记市场主体近5000户；</w:t>
      </w:r>
      <w:r>
        <w:rPr>
          <w:rFonts w:hint="eastAsia" w:ascii="仿宋_GB2312" w:hAnsi="仿宋_GB2312" w:eastAsia="仿宋_GB2312" w:cs="仿宋_GB2312"/>
          <w:color w:val="auto"/>
          <w:highlight w:val="none"/>
          <w:u w:val="none" w:color="auto"/>
          <w:lang w:val="en-US" w:eastAsia="zh-CN"/>
        </w:rPr>
        <w:t>成为南宁市首个出台《关于支持宾阳县高质量发展的若干措施》专有政策的县；全面从严治党持续深化，反腐败斗争纵深推进</w:t>
      </w:r>
      <w:r>
        <w:rPr>
          <w:rFonts w:hint="eastAsia" w:ascii="仿宋_GB2312" w:hAnsi="仿宋_GB2312" w:cs="仿宋_GB2312"/>
          <w:color w:val="auto"/>
          <w:highlight w:val="none"/>
          <w:u w:val="none" w:color="auto"/>
          <w:lang w:val="en-US" w:eastAsia="zh-CN"/>
        </w:rPr>
        <w:t>，严肃查处违纪违法案件，深挖本地廉洁文化资源，加强家风基地建设，多种形式强化警示教育，</w:t>
      </w:r>
      <w:r>
        <w:rPr>
          <w:rFonts w:hint="eastAsia" w:ascii="仿宋_GB2312" w:hAnsi="仿宋_GB2312" w:eastAsia="仿宋_GB2312" w:cs="仿宋_GB2312"/>
          <w:color w:val="auto"/>
          <w:highlight w:val="none"/>
          <w:u w:val="none" w:color="auto"/>
          <w:lang w:val="en-US" w:eastAsia="zh-CN"/>
        </w:rPr>
        <w:t>政治引领作用充分发挥，党风廉政建设全面加强，作风建设向善向好。</w:t>
      </w:r>
    </w:p>
    <w:p w14:paraId="7C7CE1A5">
      <w:pPr>
        <w:spacing w:line="240" w:lineRule="auto"/>
        <w:ind w:firstLine="0" w:firstLineChars="0"/>
        <w:jc w:val="center"/>
        <w:rPr>
          <w:rFonts w:hint="eastAsia" w:ascii="黑体" w:hAnsi="黑体" w:eastAsia="黑体" w:cs="Times New Roman"/>
          <w:b/>
          <w:bCs/>
          <w:i w:val="0"/>
          <w:iCs w:val="0"/>
          <w:color w:val="auto"/>
          <w:kern w:val="0"/>
          <w:sz w:val="30"/>
          <w:szCs w:val="30"/>
          <w:highlight w:val="none"/>
          <w:u w:val="none"/>
          <w:lang w:val="en-US" w:eastAsia="zh-CN" w:bidi="ar"/>
        </w:rPr>
      </w:pPr>
    </w:p>
    <w:p w14:paraId="78602F1D">
      <w:pPr>
        <w:spacing w:line="240" w:lineRule="auto"/>
        <w:ind w:firstLine="0" w:firstLineChars="0"/>
        <w:jc w:val="center"/>
        <w:rPr>
          <w:rFonts w:hint="eastAsia" w:ascii="黑体" w:hAnsi="黑体" w:eastAsia="黑体" w:cs="Times New Roman"/>
          <w:b/>
          <w:bCs/>
          <w:color w:val="auto"/>
          <w:kern w:val="0"/>
          <w:sz w:val="30"/>
          <w:szCs w:val="30"/>
          <w:highlight w:val="none"/>
          <w:lang w:eastAsia="zh-CN"/>
        </w:rPr>
      </w:pPr>
      <w:r>
        <w:rPr>
          <w:rFonts w:hint="eastAsia" w:ascii="黑体" w:hAnsi="黑体" w:eastAsia="黑体" w:cs="Times New Roman"/>
          <w:b/>
          <w:bCs/>
          <w:i w:val="0"/>
          <w:iCs w:val="0"/>
          <w:color w:val="auto"/>
          <w:kern w:val="0"/>
          <w:sz w:val="30"/>
          <w:szCs w:val="30"/>
          <w:highlight w:val="none"/>
          <w:u w:val="none"/>
          <w:lang w:val="en-US" w:eastAsia="zh-CN" w:bidi="ar"/>
        </w:rPr>
        <w:t>专栏1：“十四五”规划纲要主要指标完成情况表</w:t>
      </w:r>
    </w:p>
    <w:tbl>
      <w:tblPr>
        <w:tblStyle w:val="13"/>
        <w:tblW w:w="97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403"/>
        <w:gridCol w:w="839"/>
        <w:gridCol w:w="1701"/>
        <w:gridCol w:w="777"/>
        <w:gridCol w:w="1174"/>
        <w:gridCol w:w="1134"/>
        <w:gridCol w:w="943"/>
        <w:gridCol w:w="934"/>
        <w:gridCol w:w="900"/>
        <w:gridCol w:w="900"/>
      </w:tblGrid>
      <w:tr w14:paraId="7C1B0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227" w:hRule="atLeast"/>
          <w:tblHeader/>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D79962">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类别</w:t>
            </w:r>
          </w:p>
        </w:tc>
        <w:tc>
          <w:tcPr>
            <w:tcW w:w="254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E548CCC">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指标名称</w:t>
            </w:r>
          </w:p>
        </w:tc>
        <w:tc>
          <w:tcPr>
            <w:tcW w:w="7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1997CF">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单位</w:t>
            </w:r>
          </w:p>
        </w:tc>
        <w:tc>
          <w:tcPr>
            <w:tcW w:w="117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66C217">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val="en-US" w:eastAsia="zh-CN"/>
              </w:rPr>
            </w:pPr>
            <w:r>
              <w:rPr>
                <w:rFonts w:hint="eastAsia" w:ascii="宋体" w:hAnsi="Times New Roman" w:eastAsia="宋体" w:cs="Times New Roman"/>
                <w:b/>
                <w:bCs/>
                <w:color w:val="auto"/>
                <w:kern w:val="0"/>
                <w:sz w:val="18"/>
                <w:szCs w:val="18"/>
                <w:highlight w:val="none"/>
                <w:lang w:val="en-US" w:eastAsia="zh-CN"/>
              </w:rPr>
              <w:t>2020年</w:t>
            </w:r>
          </w:p>
          <w:p w14:paraId="794D19CD">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实际值</w:t>
            </w:r>
          </w:p>
        </w:tc>
        <w:tc>
          <w:tcPr>
            <w:tcW w:w="20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7AECB78">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规划目标</w:t>
            </w:r>
          </w:p>
        </w:tc>
        <w:tc>
          <w:tcPr>
            <w:tcW w:w="273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68698D6">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完成情况</w:t>
            </w:r>
            <w:r>
              <w:rPr>
                <w:rFonts w:hint="eastAsia" w:ascii="宋体" w:eastAsia="宋体" w:cs="Times New Roman"/>
                <w:b/>
                <w:bCs/>
                <w:color w:val="auto"/>
                <w:kern w:val="0"/>
                <w:sz w:val="18"/>
                <w:szCs w:val="18"/>
                <w:highlight w:val="none"/>
                <w:lang w:val="en-US" w:eastAsia="zh-CN"/>
              </w:rPr>
              <w:t>（请统计局填报）</w:t>
            </w:r>
          </w:p>
        </w:tc>
      </w:tr>
      <w:tr w14:paraId="2EFB5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737" w:hRule="atLeast"/>
          <w:tblHeader/>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8EF978">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eastAsia="zh-CN"/>
              </w:rPr>
            </w:pPr>
          </w:p>
        </w:tc>
        <w:tc>
          <w:tcPr>
            <w:tcW w:w="254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7C0655">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eastAsia="zh-CN"/>
              </w:rPr>
            </w:pPr>
          </w:p>
        </w:tc>
        <w:tc>
          <w:tcPr>
            <w:tcW w:w="7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F927935">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eastAsia="zh-CN"/>
              </w:rPr>
            </w:pPr>
          </w:p>
        </w:tc>
        <w:tc>
          <w:tcPr>
            <w:tcW w:w="117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EE9FEBF">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eastAsia="zh-CN"/>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4F6FC005">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2025年</w:t>
            </w:r>
          </w:p>
        </w:tc>
        <w:tc>
          <w:tcPr>
            <w:tcW w:w="943" w:type="dxa"/>
            <w:tcBorders>
              <w:top w:val="single" w:color="auto" w:sz="4" w:space="0"/>
              <w:left w:val="single" w:color="auto" w:sz="4" w:space="0"/>
              <w:bottom w:val="single" w:color="auto" w:sz="4" w:space="0"/>
              <w:right w:val="single" w:color="auto" w:sz="4" w:space="0"/>
            </w:tcBorders>
            <w:shd w:val="clear" w:color="auto" w:fill="auto"/>
            <w:vAlign w:val="center"/>
          </w:tcPr>
          <w:p w14:paraId="4AF4818B">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年均增长</w:t>
            </w:r>
            <w:r>
              <w:rPr>
                <w:rFonts w:hint="eastAsia" w:ascii="宋体" w:eastAsia="宋体" w:cs="Times New Roman"/>
                <w:b/>
                <w:bCs/>
                <w:color w:val="auto"/>
                <w:kern w:val="0"/>
                <w:sz w:val="18"/>
                <w:szCs w:val="18"/>
                <w:highlight w:val="none"/>
                <w:lang w:val="en-US" w:eastAsia="zh-CN"/>
              </w:rPr>
              <w:t>（</w:t>
            </w:r>
            <w:r>
              <w:rPr>
                <w:rFonts w:hint="eastAsia" w:ascii="宋体" w:hAnsi="Times New Roman" w:eastAsia="宋体" w:cs="Times New Roman"/>
                <w:b/>
                <w:bCs/>
                <w:color w:val="auto"/>
                <w:kern w:val="0"/>
                <w:sz w:val="18"/>
                <w:szCs w:val="18"/>
                <w:highlight w:val="none"/>
                <w:lang w:val="en-US" w:eastAsia="zh-CN"/>
              </w:rPr>
              <w:t>%</w:t>
            </w:r>
            <w:r>
              <w:rPr>
                <w:rFonts w:hint="eastAsia" w:ascii="宋体" w:eastAsia="宋体" w:cs="Times New Roman"/>
                <w:b/>
                <w:bCs/>
                <w:color w:val="auto"/>
                <w:kern w:val="0"/>
                <w:sz w:val="18"/>
                <w:szCs w:val="18"/>
                <w:highlight w:val="none"/>
                <w:lang w:val="en-US" w:eastAsia="zh-CN"/>
              </w:rPr>
              <w:t>）</w:t>
            </w:r>
          </w:p>
        </w:tc>
        <w:tc>
          <w:tcPr>
            <w:tcW w:w="934" w:type="dxa"/>
            <w:tcBorders>
              <w:top w:val="single" w:color="auto" w:sz="4" w:space="0"/>
              <w:left w:val="single" w:color="auto" w:sz="4" w:space="0"/>
              <w:bottom w:val="single" w:color="auto" w:sz="4" w:space="0"/>
              <w:right w:val="single" w:color="auto" w:sz="4" w:space="0"/>
            </w:tcBorders>
            <w:shd w:val="clear" w:color="auto" w:fill="auto"/>
            <w:vAlign w:val="center"/>
          </w:tcPr>
          <w:p w14:paraId="04A2BB2D">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2025年</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470BC50">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年均增长（%）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148504D">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val="en-US" w:eastAsia="zh-CN"/>
              </w:rPr>
            </w:pPr>
            <w:r>
              <w:rPr>
                <w:rFonts w:hint="eastAsia" w:ascii="宋体" w:hAnsi="Times New Roman" w:eastAsia="宋体" w:cs="Times New Roman"/>
                <w:b/>
                <w:bCs/>
                <w:color w:val="auto"/>
                <w:kern w:val="0"/>
                <w:sz w:val="18"/>
                <w:szCs w:val="18"/>
                <w:highlight w:val="none"/>
                <w:lang w:val="en-US" w:eastAsia="zh-CN"/>
              </w:rPr>
              <w:t>五年累</w:t>
            </w:r>
          </w:p>
          <w:p w14:paraId="2105A161">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lang w:val="en-US" w:eastAsia="zh-CN"/>
              </w:rPr>
            </w:pPr>
            <w:r>
              <w:rPr>
                <w:rFonts w:hint="eastAsia" w:ascii="宋体" w:hAnsi="Times New Roman" w:eastAsia="宋体" w:cs="Times New Roman"/>
                <w:b/>
                <w:bCs/>
                <w:color w:val="auto"/>
                <w:kern w:val="0"/>
                <w:sz w:val="18"/>
                <w:szCs w:val="18"/>
                <w:highlight w:val="none"/>
                <w:lang w:val="en-US" w:eastAsia="zh-CN"/>
              </w:rPr>
              <w:t>计±个</w:t>
            </w:r>
          </w:p>
          <w:p w14:paraId="3A010E87">
            <w:pPr>
              <w:keepNext w:val="0"/>
              <w:keepLines w:val="0"/>
              <w:widowControl/>
              <w:suppressLineNumbers w:val="0"/>
              <w:bidi w:val="0"/>
              <w:spacing w:before="0" w:beforeAutospacing="0" w:after="0" w:afterAutospacing="0" w:line="144" w:lineRule="auto"/>
              <w:ind w:left="0" w:right="0" w:firstLine="0" w:firstLineChars="0"/>
              <w:jc w:val="center"/>
              <w:rPr>
                <w:rFonts w:hint="eastAsia" w:ascii="宋体" w:hAnsi="Times New Roman" w:eastAsia="宋体" w:cs="Times New Roman"/>
                <w:b/>
                <w:bCs/>
                <w:color w:val="auto"/>
                <w:kern w:val="0"/>
                <w:sz w:val="18"/>
                <w:szCs w:val="18"/>
                <w:highlight w:val="none"/>
              </w:rPr>
            </w:pPr>
            <w:r>
              <w:rPr>
                <w:rFonts w:hint="eastAsia" w:ascii="宋体" w:hAnsi="Times New Roman" w:eastAsia="宋体" w:cs="Times New Roman"/>
                <w:b/>
                <w:bCs/>
                <w:color w:val="auto"/>
                <w:kern w:val="0"/>
                <w:sz w:val="18"/>
                <w:szCs w:val="18"/>
                <w:highlight w:val="none"/>
                <w:lang w:val="en-US" w:eastAsia="zh-CN"/>
              </w:rPr>
              <w:t>百分点</w:t>
            </w:r>
          </w:p>
        </w:tc>
      </w:tr>
      <w:tr w14:paraId="4080D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7179DE">
            <w:pPr>
              <w:pStyle w:val="5"/>
              <w:keepNext w:val="0"/>
              <w:keepLines w:val="0"/>
              <w:pageBreakBefore w:val="0"/>
              <w:suppressLineNumbers w:val="0"/>
              <w:kinsoku/>
              <w:wordWrap/>
              <w:overflowPunct/>
              <w:topLinePunct w:val="0"/>
              <w:autoSpaceDE/>
              <w:autoSpaceDN/>
              <w:bidi w:val="0"/>
              <w:adjustRightInd/>
              <w:snapToGrid/>
              <w:spacing w:before="0" w:after="0" w:line="144" w:lineRule="auto"/>
              <w:ind w:left="0" w:leftChars="0" w:right="0" w:firstLine="0" w:firstLineChars="0"/>
              <w:jc w:val="center"/>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kern w:val="0"/>
                <w:sz w:val="18"/>
                <w:szCs w:val="18"/>
                <w:highlight w:val="none"/>
                <w:lang w:val="en-US" w:eastAsia="zh-CN"/>
              </w:rPr>
              <w:t>经</w:t>
            </w:r>
            <w:r>
              <w:rPr>
                <w:rFonts w:hint="eastAsia" w:asciiTheme="minorEastAsia" w:hAnsiTheme="minorEastAsia" w:eastAsiaTheme="minorEastAsia" w:cstheme="minorEastAsia"/>
                <w:b/>
                <w:bCs/>
                <w:color w:val="auto"/>
                <w:kern w:val="0"/>
                <w:sz w:val="18"/>
                <w:szCs w:val="18"/>
                <w:highlight w:val="none"/>
              </w:rPr>
              <w:t>济发展</w:t>
            </w: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3E3275">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地区生产总值（GDP）</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5BE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亿元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8194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279.96</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0415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497</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F79A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8.2</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5F86D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041A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1F69A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63AC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BAC93D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E5DEA6E">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人均GDP</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4358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A2CC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35287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0FE2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48160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6907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7.5</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A690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8BD5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BFF7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78A3E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BFE44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5DD447">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财政收入</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47E2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亿元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66F0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15.55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103F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19.85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4011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5</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39F60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282C2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A1E6E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5998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F3BBB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A1DFEA">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固定资产投资</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0FC6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亿元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324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50A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7502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2652C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51D2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21DBA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8047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1214F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C2F005">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社会消费品零售总额</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B9CD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亿元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D5A4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103.21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BF25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154</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C253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D9371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1BFB9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2C1D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620A5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C7D7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3885C0E">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规模以上工业增加值</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BF6F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亿元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59E7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1244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125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4958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12</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D0791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9863E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F18AA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E016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214"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6793C9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3FF56F">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GDP占南宁市GDP的比重</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67CA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E41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5.93</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B1A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8.43</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584F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560E7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8665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39C6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78E0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AFE60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465B641">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工业化水平</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65D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9147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9919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7BE5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4FCDB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17829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C390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0E6F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50092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583513">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服务业增加值占GDP比重</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6FD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ED1E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48.5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D97C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48</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30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3F91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9A6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231FB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0E14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99F8D1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78A7B3">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三次产业结构</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ED8A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52C7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21.8:29.7:48.5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3D4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17:35:48</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3E22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Style w:val="20"/>
                <w:rFonts w:hint="eastAsia" w:asciiTheme="minorEastAsia" w:hAnsiTheme="minorEastAsia" w:eastAsiaTheme="minorEastAsia" w:cstheme="minorEastAsia"/>
                <w:color w:val="auto"/>
                <w:sz w:val="18"/>
                <w:szCs w:val="18"/>
                <w:highlight w:val="none"/>
                <w:lang w:val="en-US" w:eastAsia="zh-CN" w:bidi="ar"/>
              </w:rPr>
              <w:t>--　</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5BF41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360D3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4C839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B4D6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9E0F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创新发展</w:t>
            </w: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C4AE5CD">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研究与试验发展经费支出占GDP比重</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1EEE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7581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1.98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D141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2.23</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E173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308B5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4E85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C9B12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511C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63E4F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13266E">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每万人发明专利拥有量</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DF4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件</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8854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0.97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26FD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2.77</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6720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89B23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59F80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33F28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D2F8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DFD35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协调发展</w:t>
            </w:r>
          </w:p>
        </w:tc>
        <w:tc>
          <w:tcPr>
            <w:tcW w:w="8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75C604">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城镇化率</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56BF1B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常住人口城镇化率</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41274A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92B6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default"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45.27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4EA8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50.36</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BF2A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EDC4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E28C0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7602E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A53A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2F37F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8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F882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rPr>
                <w:rFonts w:hint="eastAsia" w:asciiTheme="minorEastAsia" w:hAnsiTheme="minorEastAsia" w:eastAsiaTheme="minorEastAsia" w:cstheme="minorEastAsia"/>
                <w:b/>
                <w:bCs/>
                <w:i w:val="0"/>
                <w:iCs w:val="0"/>
                <w:color w:val="auto"/>
                <w:sz w:val="18"/>
                <w:szCs w:val="18"/>
                <w:highlight w:val="none"/>
                <w:u w:val="none"/>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1CCDAD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户籍人口城镇化率</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2E776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D73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31.68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0C16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33</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018B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kern w:val="2"/>
                <w:sz w:val="18"/>
                <w:szCs w:val="18"/>
                <w:highlight w:val="none"/>
                <w:u w:val="none"/>
                <w:lang w:val="en-US" w:eastAsia="zh-CN" w:bidi="ar-SA"/>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E55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780B7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AA5B9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08B4C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53C18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64707DF">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人口自然增长率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585E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73AC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3E7B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4B5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786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3305A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1235C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70324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4AED7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8FC6DB4">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城乡居民人均可支配收入倍差</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94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E109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2.22</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76C7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2.03</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5E88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BED4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6F1C4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C72FC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69912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9015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绿色发展</w:t>
            </w: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F3F9D4">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粮食综合生产能力</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925C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万吨</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09AE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36.32</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B94C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36</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F44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3B34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FB9D9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E23A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CCA7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50948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0C6B90">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耕地保有量</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4B6F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公顷</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4726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91490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F56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B292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E3A95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0A17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80B6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0BBB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F6240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E66B478">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森林覆盖率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E350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0010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8E56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45.7</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FEFE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A84A1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E1B0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DDBF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7D460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C0E3F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437786">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万元GDP综合能耗降低</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0C2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62B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top"/>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0CB2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441D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AC9ED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42D1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770C8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D35B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F9D017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8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D7B4CC">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主要污染物排放总量控制</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0611FD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化学需氧量排放量</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329E37A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A135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6843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5A6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7230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0A310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7BA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A495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B9CC74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8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E627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rPr>
                <w:rFonts w:hint="eastAsia" w:asciiTheme="minorEastAsia" w:hAnsiTheme="minorEastAsia" w:eastAsiaTheme="minorEastAsia" w:cstheme="minorEastAsia"/>
                <w:b/>
                <w:bCs/>
                <w:i w:val="0"/>
                <w:iCs w:val="0"/>
                <w:color w:val="auto"/>
                <w:sz w:val="18"/>
                <w:szCs w:val="18"/>
                <w:highlight w:val="none"/>
                <w:u w:val="none"/>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42CC81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氨氮排放量</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103734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4A7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C7FD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DFBE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A63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6B6CB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C784A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701E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F89D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8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4B40C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rPr>
                <w:rFonts w:hint="eastAsia" w:asciiTheme="minorEastAsia" w:hAnsiTheme="minorEastAsia" w:eastAsiaTheme="minorEastAsia" w:cstheme="minorEastAsia"/>
                <w:b/>
                <w:bCs/>
                <w:i w:val="0"/>
                <w:iCs w:val="0"/>
                <w:color w:val="auto"/>
                <w:sz w:val="18"/>
                <w:szCs w:val="18"/>
                <w:highlight w:val="none"/>
                <w:u w:val="none"/>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2494E2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二氧化硫排放量</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360B0D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908B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B7F1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4C08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2E18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3904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DE7E9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4844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0332F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8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E5108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rPr>
                <w:rFonts w:hint="eastAsia" w:asciiTheme="minorEastAsia" w:hAnsiTheme="minorEastAsia" w:eastAsiaTheme="minorEastAsia" w:cstheme="minorEastAsia"/>
                <w:b/>
                <w:bCs/>
                <w:i w:val="0"/>
                <w:iCs w:val="0"/>
                <w:color w:val="auto"/>
                <w:sz w:val="18"/>
                <w:szCs w:val="18"/>
                <w:highlight w:val="none"/>
                <w:u w:val="none"/>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73C3ED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both"/>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氮氧化物排放量</w:t>
            </w:r>
          </w:p>
        </w:tc>
        <w:tc>
          <w:tcPr>
            <w:tcW w:w="777" w:type="dxa"/>
            <w:tcBorders>
              <w:top w:val="single" w:color="auto" w:sz="4" w:space="0"/>
              <w:left w:val="single" w:color="auto" w:sz="4" w:space="0"/>
              <w:bottom w:val="single" w:color="auto" w:sz="4" w:space="0"/>
              <w:right w:val="single" w:color="auto" w:sz="4" w:space="0"/>
            </w:tcBorders>
            <w:shd w:val="clear" w:color="auto" w:fill="auto"/>
            <w:vAlign w:val="center"/>
          </w:tcPr>
          <w:p w14:paraId="38EE5CC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252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A125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按市下达目标完成</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0C20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1388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600B8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B09B9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680A6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F0556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80D6B17">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县城环境空气质量优良天数比例</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7A02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EB41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93.1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D957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95.6</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F64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47709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121E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C751D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8DA7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612"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309C5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开放发展</w:t>
            </w: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A14DA49">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外贸进出口总额</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AE59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万元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B40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10815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965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15890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22EA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7E5C2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00BA2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A68F3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CFAD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7BEB064">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B47E08B">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商务口径实际利用外资</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E9BD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万美元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A85C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453</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EBB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730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CDC9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F3374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6BD8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AAC1B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58448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226E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共享发展</w:t>
            </w: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F65A9E">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城镇居民人均可支配收入</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A7A3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87AD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36255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A2BC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48520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1950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6</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4E78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BCE05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75C3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0CF2D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008AAF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10C4C78">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农村居民人均可支配收入</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D634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元</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7498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16321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6C3C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23980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DDA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450CA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DA62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9B027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7FDD6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104F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3B3CA0">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城镇登记失业率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8739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9415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3.37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6647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&lt;4.4</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49D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E4B6E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BD55B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8594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9F1C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CCB7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9ED4F7A">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基本养老保险参保率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42FD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C81D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AF06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93</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67BF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E9E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A2EF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C1761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4407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25386E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B5D5D85">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学前三年毛入学率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CF73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757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101.69</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26CC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98.5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156F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A5766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9077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9B1A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2BBE9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30A64A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E8CC3B3">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普惠性覆盖率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503E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6617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87.94</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5269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88</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3B8E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B41A8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69ECC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50CEB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14FE7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93B64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AB84A6">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九年义务教育巩固率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475F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9805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100.71</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29AE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97</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29E5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3317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EAD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D56B6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A8B7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74A80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5EB6E2">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高中阶段毛入学率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F0B9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D1AB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96.37</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0B06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97</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53E1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EAC1E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DA618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5DC66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30FED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94418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9E5042">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每千人拥有执业（助理）医师数</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E6FC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人</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5CF1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1.98</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EE67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2.05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2F11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3F3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default" w:asciiTheme="minorEastAsia" w:hAnsiTheme="minorEastAsia" w:eastAsiaTheme="minorEastAsia" w:cstheme="minorEastAsia"/>
                <w:i w:val="0"/>
                <w:iCs w:val="0"/>
                <w:color w:val="auto"/>
                <w:sz w:val="18"/>
                <w:szCs w:val="18"/>
                <w:highlight w:val="none"/>
                <w:u w:val="none"/>
                <w:lang w:val="en-US" w:eastAsia="zh-CN"/>
              </w:rPr>
            </w:pPr>
            <w:r>
              <w:rPr>
                <w:rFonts w:hint="eastAsia" w:asciiTheme="minorEastAsia" w:hAnsiTheme="minorEastAsia" w:eastAsiaTheme="minorEastAsia" w:cstheme="minorEastAsia"/>
                <w:i w:val="0"/>
                <w:iCs w:val="0"/>
                <w:color w:val="auto"/>
                <w:sz w:val="18"/>
                <w:szCs w:val="18"/>
                <w:highlight w:val="none"/>
                <w:u w:val="none"/>
                <w:lang w:val="en-US" w:eastAsia="zh-CN"/>
              </w:rPr>
              <w:t>2.44</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E64F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default" w:asciiTheme="minorEastAsia" w:hAnsiTheme="minorEastAsia" w:eastAsiaTheme="minorEastAsia" w:cstheme="minorEastAsia"/>
                <w:i w:val="0"/>
                <w:iCs w:val="0"/>
                <w:color w:val="auto"/>
                <w:sz w:val="18"/>
                <w:szCs w:val="18"/>
                <w:highlight w:val="none"/>
                <w:u w:val="none"/>
                <w:lang w:val="en-US" w:eastAsia="zh-CN"/>
              </w:rPr>
            </w:pPr>
            <w:r>
              <w:rPr>
                <w:rFonts w:hint="eastAsia" w:asciiTheme="minorEastAsia" w:hAnsiTheme="minorEastAsia" w:eastAsiaTheme="minorEastAsia" w:cstheme="minorEastAsia"/>
                <w:i w:val="0"/>
                <w:iCs w:val="0"/>
                <w:color w:val="auto"/>
                <w:sz w:val="18"/>
                <w:szCs w:val="18"/>
                <w:highlight w:val="none"/>
                <w:u w:val="none"/>
                <w:lang w:val="en-US" w:eastAsia="zh-CN"/>
              </w:rPr>
              <w:t>4.27</w:t>
            </w: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3A01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default" w:asciiTheme="minorEastAsia" w:hAnsiTheme="minorEastAsia" w:eastAsiaTheme="minorEastAsia" w:cstheme="minorEastAsia"/>
                <w:i w:val="0"/>
                <w:iCs w:val="0"/>
                <w:color w:val="auto"/>
                <w:sz w:val="18"/>
                <w:szCs w:val="18"/>
                <w:highlight w:val="none"/>
                <w:u w:val="none"/>
                <w:lang w:val="en-US" w:eastAsia="zh-CN"/>
              </w:rPr>
            </w:pPr>
            <w:r>
              <w:rPr>
                <w:rFonts w:hint="eastAsia" w:asciiTheme="minorEastAsia" w:hAnsiTheme="minorEastAsia" w:eastAsiaTheme="minorEastAsia" w:cstheme="minorEastAsia"/>
                <w:i w:val="0"/>
                <w:iCs w:val="0"/>
                <w:color w:val="auto"/>
                <w:sz w:val="18"/>
                <w:szCs w:val="18"/>
                <w:highlight w:val="none"/>
                <w:u w:val="none"/>
                <w:lang w:val="en-US" w:eastAsia="zh-CN"/>
              </w:rPr>
              <w:t>23.23</w:t>
            </w:r>
          </w:p>
        </w:tc>
      </w:tr>
      <w:tr w14:paraId="50E84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4234EA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A637DB">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每千名老人养老床位数</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3CE3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张</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EDBA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AA67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D1D4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E44CE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EE697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3B1A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5A6CC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4417C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1F7068">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农村自来水普及率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AB0D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151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84.12</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11D3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89.12</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C071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DB3E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5B44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1D091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4C626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CE8CC0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3E75D7">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农村卫生厕所普及率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36D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F6DA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95</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756B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98</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6120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E49EF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90DCE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BE34A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64E35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BC06D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DFEEA93">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每万人拥有公共汽车车辆</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86A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辆</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F69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3.93</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1AF5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4.5</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1E6F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84820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7CFBA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9990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r w14:paraId="74838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93" w:hRule="atLeast"/>
          <w:jc w:val="center"/>
        </w:trPr>
        <w:tc>
          <w:tcPr>
            <w:tcW w:w="40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9BFD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b/>
                <w:bCs/>
                <w:i w:val="0"/>
                <w:iCs w:val="0"/>
                <w:color w:val="auto"/>
                <w:sz w:val="18"/>
                <w:szCs w:val="18"/>
                <w:highlight w:val="none"/>
                <w:u w:val="none"/>
              </w:rPr>
            </w:pPr>
          </w:p>
        </w:tc>
        <w:tc>
          <w:tcPr>
            <w:tcW w:w="25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85F38F2">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left"/>
              <w:textAlignment w:val="center"/>
              <w:rPr>
                <w:rFonts w:hint="eastAsia" w:asciiTheme="minorEastAsia" w:hAnsiTheme="minorEastAsia" w:eastAsiaTheme="minorEastAsia" w:cstheme="minorEastAsia"/>
                <w:b/>
                <w:bCs/>
                <w:i w:val="0"/>
                <w:iCs w:val="0"/>
                <w:color w:val="auto"/>
                <w:sz w:val="18"/>
                <w:szCs w:val="18"/>
                <w:highlight w:val="none"/>
                <w:u w:val="none"/>
              </w:rPr>
            </w:pPr>
            <w:r>
              <w:rPr>
                <w:rFonts w:hint="eastAsia" w:asciiTheme="minorEastAsia" w:hAnsiTheme="minorEastAsia" w:eastAsiaTheme="minorEastAsia" w:cstheme="minorEastAsia"/>
                <w:b/>
                <w:bCs/>
                <w:i w:val="0"/>
                <w:iCs w:val="0"/>
                <w:color w:val="auto"/>
                <w:kern w:val="0"/>
                <w:sz w:val="18"/>
                <w:szCs w:val="18"/>
                <w:highlight w:val="none"/>
                <w:u w:val="none"/>
                <w:lang w:val="en-US" w:eastAsia="zh-CN" w:bidi="ar"/>
              </w:rPr>
              <w:t>5G网络覆盖率</w:t>
            </w:r>
          </w:p>
        </w:tc>
        <w:tc>
          <w:tcPr>
            <w:tcW w:w="7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CD7B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leftChars="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11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B0F8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20</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55A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100</w:t>
            </w:r>
          </w:p>
        </w:tc>
        <w:tc>
          <w:tcPr>
            <w:tcW w:w="9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865F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center"/>
              <w:rPr>
                <w:rFonts w:hint="eastAsia" w:asciiTheme="minorEastAsia" w:hAnsiTheme="minorEastAsia" w:eastAsiaTheme="minorEastAsia" w:cstheme="minorEastAsia"/>
                <w:i w:val="0"/>
                <w:iCs w:val="0"/>
                <w:color w:val="auto"/>
                <w:sz w:val="18"/>
                <w:szCs w:val="18"/>
                <w:highlight w:val="none"/>
                <w:u w:val="none"/>
              </w:rPr>
            </w:pPr>
            <w:r>
              <w:rPr>
                <w:rFonts w:hint="eastAsia" w:asciiTheme="minorEastAsia" w:hAnsiTheme="minorEastAsia" w:eastAsiaTheme="minorEastAsia" w:cstheme="minorEastAsia"/>
                <w:i w:val="0"/>
                <w:iCs w:val="0"/>
                <w:color w:val="auto"/>
                <w:kern w:val="0"/>
                <w:sz w:val="18"/>
                <w:szCs w:val="18"/>
                <w:highlight w:val="none"/>
                <w:u w:val="none"/>
                <w:lang w:val="en-US" w:eastAsia="zh-CN" w:bidi="ar"/>
              </w:rPr>
              <w:t>--</w:t>
            </w:r>
          </w:p>
        </w:tc>
        <w:tc>
          <w:tcPr>
            <w:tcW w:w="9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80955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6C38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c>
          <w:tcPr>
            <w:tcW w:w="9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1EED9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rPr>
                <w:rFonts w:hint="eastAsia" w:asciiTheme="minorEastAsia" w:hAnsiTheme="minorEastAsia" w:eastAsiaTheme="minorEastAsia" w:cstheme="minorEastAsia"/>
                <w:i w:val="0"/>
                <w:iCs w:val="0"/>
                <w:color w:val="auto"/>
                <w:sz w:val="18"/>
                <w:szCs w:val="18"/>
                <w:highlight w:val="none"/>
                <w:u w:val="none"/>
              </w:rPr>
            </w:pPr>
          </w:p>
        </w:tc>
      </w:tr>
    </w:tbl>
    <w:p w14:paraId="0C7D06AF">
      <w:pPr>
        <w:keepNext w:val="0"/>
        <w:keepLines w:val="0"/>
        <w:pageBreakBefore w:val="0"/>
        <w:widowControl/>
        <w:suppressLineNumbers w:val="0"/>
        <w:pBdr>
          <w:top w:val="none" w:color="auto" w:sz="0" w:space="0"/>
          <w:left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rPr>
      </w:pPr>
    </w:p>
    <w:p w14:paraId="05AB192F">
      <w:pPr>
        <w:pStyle w:val="4"/>
        <w:keepNext w:val="0"/>
        <w:keepLines w:val="0"/>
        <w:pageBreakBefore w:val="0"/>
        <w:widowControl/>
        <w:suppressLineNumbers w:val="0"/>
        <w:kinsoku/>
        <w:wordWrap/>
        <w:overflowPunct/>
        <w:topLinePunct w:val="0"/>
        <w:autoSpaceDE/>
        <w:autoSpaceDN/>
        <w:bidi w:val="0"/>
        <w:adjustRightInd/>
        <w:snapToGrid/>
        <w:spacing w:beforeLines="0" w:beforeAutospacing="0" w:afterLines="0" w:line="560" w:lineRule="exact"/>
        <w:ind w:left="0" w:firstLine="0" w:firstLineChars="0"/>
        <w:jc w:val="center"/>
        <w:textAlignment w:val="auto"/>
        <w:rPr>
          <w:rFonts w:hint="default" w:ascii="仿宋_GB2312" w:hAnsi="仿宋_GB2312" w:cs="Times New Roman"/>
          <w:b/>
          <w:bCs/>
          <w:color w:val="auto"/>
          <w:kern w:val="2"/>
          <w:sz w:val="32"/>
          <w:szCs w:val="32"/>
          <w:highlight w:val="none"/>
          <w:lang w:val="en-US" w:eastAsia="zh-CN" w:bidi="ar-SA"/>
        </w:rPr>
      </w:pPr>
      <w:bookmarkStart w:id="14" w:name="_Toc15205"/>
      <w:bookmarkStart w:id="15" w:name="_Toc5634"/>
      <w:bookmarkStart w:id="16" w:name="_Toc23392"/>
      <w:bookmarkStart w:id="17" w:name="_Toc10549"/>
      <w:bookmarkStart w:id="18" w:name="_Toc21815"/>
      <w:bookmarkStart w:id="19" w:name="_Toc25089"/>
      <w:r>
        <w:rPr>
          <w:rFonts w:hint="eastAsia" w:ascii="仿宋_GB2312" w:hAnsi="仿宋_GB2312" w:cs="Times New Roman"/>
          <w:b/>
          <w:bCs/>
          <w:color w:val="auto"/>
          <w:kern w:val="2"/>
          <w:sz w:val="32"/>
          <w:szCs w:val="32"/>
          <w:highlight w:val="none"/>
          <w:lang w:val="en-US" w:eastAsia="zh-CN" w:bidi="ar-SA"/>
        </w:rPr>
        <w:t>第二节 发展机遇与挑战</w:t>
      </w:r>
      <w:bookmarkEnd w:id="14"/>
      <w:bookmarkEnd w:id="15"/>
      <w:bookmarkEnd w:id="16"/>
      <w:bookmarkEnd w:id="17"/>
      <w:bookmarkEnd w:id="18"/>
      <w:bookmarkEnd w:id="19"/>
    </w:p>
    <w:p w14:paraId="542B575D">
      <w:pPr>
        <w:rPr>
          <w:rFonts w:hint="eastAsia" w:ascii="仿宋_GB2312" w:hAnsi="仿宋_GB2312" w:cs="Times New Roman"/>
          <w:b w:val="0"/>
          <w:bCs w:val="0"/>
          <w:color w:val="auto"/>
          <w:kern w:val="2"/>
          <w:sz w:val="32"/>
          <w:szCs w:val="32"/>
          <w:highlight w:val="none"/>
          <w:lang w:val="en-US" w:eastAsia="zh-CN" w:bidi="ar-SA"/>
        </w:rPr>
      </w:pPr>
      <w:bookmarkStart w:id="20" w:name="_Toc10308"/>
      <w:r>
        <w:rPr>
          <w:rFonts w:hint="eastAsia" w:ascii="仿宋_GB2312" w:hAnsi="仿宋_GB2312" w:eastAsia="仿宋_GB2312" w:cs="Times New Roman"/>
          <w:b w:val="0"/>
          <w:bCs w:val="0"/>
          <w:color w:val="auto"/>
          <w:kern w:val="2"/>
          <w:szCs w:val="32"/>
          <w:highlight w:val="none"/>
          <w:u w:val="none"/>
          <w:lang w:val="en-US" w:eastAsia="zh-CN" w:bidi="ar-SA"/>
        </w:rPr>
        <w:t>“十五五”时期既是基本实现社会主义现代化取得决定性进展的关键五年，也是加快推动高质量发展成型起势的重要窗口期。</w:t>
      </w:r>
      <w:r>
        <w:rPr>
          <w:rFonts w:hint="eastAsia" w:ascii="仿宋_GB2312" w:hAnsi="仿宋_GB2312" w:eastAsia="仿宋_GB2312" w:cs="Times New Roman"/>
          <w:b w:val="0"/>
          <w:bCs w:val="0"/>
          <w:color w:val="auto"/>
          <w:kern w:val="2"/>
          <w:szCs w:val="32"/>
          <w:highlight w:val="none"/>
          <w:u w:val="none"/>
          <w:lang w:bidi="ar-SA"/>
        </w:rPr>
        <w:t>在国家战略机遇</w:t>
      </w:r>
      <w:r>
        <w:rPr>
          <w:rFonts w:hint="eastAsia" w:ascii="仿宋_GB2312" w:hAnsi="仿宋_GB2312" w:eastAsia="仿宋_GB2312" w:cs="Times New Roman"/>
          <w:b w:val="0"/>
          <w:bCs w:val="0"/>
          <w:color w:val="auto"/>
          <w:kern w:val="2"/>
          <w:szCs w:val="32"/>
          <w:highlight w:val="none"/>
          <w:u w:val="none"/>
          <w:lang w:val="en-US" w:eastAsia="zh-CN" w:bidi="ar-SA"/>
        </w:rPr>
        <w:t>和</w:t>
      </w:r>
      <w:r>
        <w:rPr>
          <w:rFonts w:hint="eastAsia" w:ascii="仿宋_GB2312" w:hAnsi="仿宋_GB2312" w:eastAsia="仿宋_GB2312" w:cs="Times New Roman"/>
          <w:b w:val="0"/>
          <w:bCs w:val="0"/>
          <w:color w:val="auto"/>
          <w:kern w:val="2"/>
          <w:szCs w:val="32"/>
          <w:highlight w:val="none"/>
          <w:u w:val="none"/>
          <w:lang w:bidi="ar-SA"/>
        </w:rPr>
        <w:t>风险挑战</w:t>
      </w:r>
      <w:r>
        <w:rPr>
          <w:rFonts w:hint="eastAsia" w:ascii="仿宋_GB2312" w:hAnsi="仿宋_GB2312" w:eastAsia="仿宋_GB2312" w:cs="Times New Roman"/>
          <w:b w:val="0"/>
          <w:bCs w:val="0"/>
          <w:color w:val="auto"/>
          <w:kern w:val="2"/>
          <w:szCs w:val="32"/>
          <w:highlight w:val="none"/>
          <w:u w:val="none"/>
          <w:lang w:val="en-US" w:eastAsia="zh-CN" w:bidi="ar-SA"/>
        </w:rPr>
        <w:t>并存</w:t>
      </w:r>
      <w:r>
        <w:rPr>
          <w:rFonts w:hint="eastAsia" w:ascii="仿宋_GB2312" w:hAnsi="仿宋_GB2312" w:eastAsia="仿宋_GB2312" w:cs="Times New Roman"/>
          <w:b w:val="0"/>
          <w:bCs w:val="0"/>
          <w:color w:val="auto"/>
          <w:kern w:val="2"/>
          <w:szCs w:val="32"/>
          <w:highlight w:val="none"/>
          <w:u w:val="none"/>
          <w:lang w:bidi="ar-SA"/>
        </w:rPr>
        <w:t>、不确定难预料因素持续增多的大背景下，</w:t>
      </w:r>
      <w:r>
        <w:rPr>
          <w:rFonts w:hint="eastAsia" w:ascii="仿宋_GB2312" w:hAnsi="仿宋_GB2312" w:eastAsia="仿宋_GB2312" w:cs="Times New Roman"/>
          <w:b w:val="0"/>
          <w:bCs w:val="0"/>
          <w:color w:val="auto"/>
          <w:kern w:val="2"/>
          <w:szCs w:val="32"/>
          <w:highlight w:val="none"/>
          <w:u w:val="none"/>
          <w:lang w:val="en-US" w:eastAsia="zh-CN" w:bidi="ar-SA"/>
        </w:rPr>
        <w:t>宾阳县发展既处于多重战略叠加的“黄金窗口期”，也面临转型攻坚的“压力挑战期”。</w:t>
      </w:r>
    </w:p>
    <w:p w14:paraId="036C9168">
      <w:pPr>
        <w:pStyle w:val="5"/>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textAlignment w:val="auto"/>
        <w:outlineLvl w:val="2"/>
        <w:rPr>
          <w:rFonts w:hint="eastAsia" w:ascii="仿宋_GB2312" w:hAnsi="仿宋_GB2312" w:cs="Times New Roman"/>
          <w:b w:val="0"/>
          <w:bCs w:val="0"/>
          <w:color w:val="auto"/>
          <w:sz w:val="32"/>
          <w:szCs w:val="32"/>
          <w:highlight w:val="none"/>
          <w:lang w:val="en-US" w:eastAsia="zh-CN"/>
        </w:rPr>
      </w:pPr>
      <w:r>
        <w:rPr>
          <w:rFonts w:hint="eastAsia" w:ascii="仿宋_GB2312" w:hAnsi="仿宋_GB2312" w:cs="Times New Roman"/>
          <w:b/>
          <w:bCs/>
          <w:color w:val="auto"/>
          <w:sz w:val="32"/>
          <w:szCs w:val="32"/>
          <w:highlight w:val="none"/>
          <w:lang w:val="en-US" w:eastAsia="zh-CN"/>
        </w:rPr>
        <w:t>一、发展机遇</w:t>
      </w:r>
      <w:r>
        <w:rPr>
          <w:rFonts w:hint="eastAsia" w:ascii="仿宋_GB2312" w:hAnsi="仿宋_GB2312" w:cs="Times New Roman"/>
          <w:b w:val="0"/>
          <w:bCs w:val="0"/>
          <w:color w:val="auto"/>
          <w:sz w:val="32"/>
          <w:szCs w:val="32"/>
          <w:highlight w:val="none"/>
          <w:lang w:val="en-US" w:eastAsia="zh-CN"/>
        </w:rPr>
        <w:t>​</w:t>
      </w:r>
    </w:p>
    <w:p w14:paraId="22842261">
      <w:pPr>
        <w:rPr>
          <w:rFonts w:hint="eastAsia" w:ascii="仿宋_GB2312" w:hAnsi="Times New Roman" w:cs="仿宋_GB2312"/>
          <w:b w:val="0"/>
          <w:bCs w:val="0"/>
          <w:color w:val="auto"/>
          <w:sz w:val="32"/>
          <w:szCs w:val="32"/>
          <w:highlight w:val="none"/>
          <w:lang w:eastAsia="zh-CN"/>
        </w:rPr>
      </w:pPr>
      <w:r>
        <w:rPr>
          <w:rFonts w:hint="eastAsia" w:ascii="仿宋_GB2312" w:hAnsi="仿宋_GB2312" w:cs="Times New Roman"/>
          <w:b w:val="0"/>
          <w:bCs w:val="0"/>
          <w:color w:val="auto"/>
          <w:sz w:val="32"/>
          <w:szCs w:val="32"/>
          <w:highlight w:val="none"/>
          <w:lang w:val="en-US" w:eastAsia="zh-CN"/>
        </w:rPr>
        <w:t>从国家战略来看，</w:t>
      </w:r>
      <w:r>
        <w:rPr>
          <w:rFonts w:hint="eastAsia" w:ascii="仿宋_GB2312" w:hAnsi="Times New Roman" w:eastAsia="仿宋_GB2312" w:cs="仿宋_GB2312"/>
          <w:b w:val="0"/>
          <w:bCs w:val="0"/>
          <w:color w:val="auto"/>
          <w:sz w:val="32"/>
          <w:szCs w:val="32"/>
          <w:highlight w:val="none"/>
        </w:rPr>
        <w:t>我国经济基础稳、优势多、韧性强、潜力大，长期向好的支撑条件和基本趋势没有变。当前，我国正处在经济结构深度调整与创新驱动转型的关键时期，传统产业加速向绿色化、智能化升级，新一代信息技术、生物医药、新能源汽车等战略性新兴产业蓬勃发展，持续实施扩大内需战略，推动消费升级与有效投资，促进区域协调发展与重大战略联动。中国—东盟自贸区3.0版加快建设，国家开放合作水平不断提升，数字经济、绿色经济和中小微企业发展的政策红利持续释放。宾阳县</w:t>
      </w:r>
      <w:r>
        <w:rPr>
          <w:rFonts w:hint="eastAsia" w:ascii="仿宋_GB2312" w:hAnsi="Times New Roman" w:cs="仿宋_GB2312"/>
          <w:b w:val="0"/>
          <w:bCs w:val="0"/>
          <w:color w:val="auto"/>
          <w:sz w:val="32"/>
          <w:szCs w:val="32"/>
          <w:highlight w:val="none"/>
          <w:lang w:val="en-US" w:eastAsia="zh-CN"/>
        </w:rPr>
        <w:t>需</w:t>
      </w:r>
      <w:r>
        <w:rPr>
          <w:rFonts w:hint="eastAsia" w:ascii="仿宋_GB2312" w:hAnsi="仿宋_GB2312" w:cs="Times New Roman"/>
          <w:b w:val="0"/>
          <w:bCs w:val="0"/>
          <w:color w:val="auto"/>
          <w:sz w:val="32"/>
          <w:szCs w:val="32"/>
          <w:highlight w:val="none"/>
          <w:lang w:val="en-US" w:eastAsia="zh-CN"/>
        </w:rPr>
        <w:t>始终坚持抓好高质量发展这一首要任务，</w:t>
      </w:r>
      <w:r>
        <w:rPr>
          <w:rFonts w:hint="eastAsia" w:ascii="仿宋_GB2312" w:hAnsi="Times New Roman" w:eastAsia="仿宋_GB2312" w:cs="仿宋_GB2312"/>
          <w:b w:val="0"/>
          <w:bCs w:val="0"/>
          <w:color w:val="auto"/>
          <w:sz w:val="32"/>
          <w:szCs w:val="32"/>
          <w:highlight w:val="none"/>
        </w:rPr>
        <w:t>主动把握趋势、融入大局，</w:t>
      </w:r>
      <w:r>
        <w:rPr>
          <w:rFonts w:hint="eastAsia" w:ascii="仿宋_GB2312" w:hAnsi="仿宋_GB2312" w:cs="Times New Roman"/>
          <w:b w:val="0"/>
          <w:bCs w:val="0"/>
          <w:color w:val="auto"/>
          <w:sz w:val="32"/>
          <w:szCs w:val="32"/>
          <w:highlight w:val="none"/>
          <w:lang w:val="en-US" w:eastAsia="zh-CN"/>
        </w:rPr>
        <w:t>加快传统产业的升级改造，积极培育新兴产业，进一步加大科技投入，培育更多本地创新主体，提升产业的科技含量和附加值，</w:t>
      </w:r>
      <w:r>
        <w:rPr>
          <w:rFonts w:hint="eastAsia" w:ascii="仿宋_GB2312" w:hAnsi="仿宋_GB2312" w:eastAsia="仿宋_GB2312" w:cs="Times New Roman"/>
          <w:b w:val="0"/>
          <w:bCs w:val="0"/>
          <w:color w:val="auto"/>
          <w:sz w:val="32"/>
          <w:szCs w:val="32"/>
          <w:highlight w:val="none"/>
        </w:rPr>
        <w:t>把握西部</w:t>
      </w:r>
      <w:r>
        <w:rPr>
          <w:rFonts w:hint="eastAsia" w:ascii="仿宋_GB2312" w:hAnsi="仿宋_GB2312" w:cs="Times New Roman"/>
          <w:b w:val="0"/>
          <w:bCs w:val="0"/>
          <w:color w:val="auto"/>
          <w:sz w:val="32"/>
          <w:szCs w:val="32"/>
          <w:highlight w:val="none"/>
          <w:lang w:val="en-US" w:eastAsia="zh-CN"/>
        </w:rPr>
        <w:t>大</w:t>
      </w:r>
      <w:r>
        <w:rPr>
          <w:rFonts w:hint="eastAsia" w:ascii="仿宋_GB2312" w:hAnsi="仿宋_GB2312" w:eastAsia="仿宋_GB2312" w:cs="Times New Roman"/>
          <w:b w:val="0"/>
          <w:bCs w:val="0"/>
          <w:color w:val="auto"/>
          <w:sz w:val="32"/>
          <w:szCs w:val="32"/>
          <w:highlight w:val="none"/>
        </w:rPr>
        <w:t>开发、</w:t>
      </w:r>
      <w:r>
        <w:rPr>
          <w:rFonts w:hint="eastAsia" w:ascii="仿宋_GB2312" w:hAnsi="仿宋_GB2312" w:cs="Times New Roman"/>
          <w:color w:val="auto"/>
          <w:szCs w:val="32"/>
          <w:highlight w:val="none"/>
        </w:rPr>
        <w:t>西部陆海新通道建设</w:t>
      </w:r>
      <w:r>
        <w:rPr>
          <w:rFonts w:hint="eastAsia" w:ascii="仿宋_GB2312" w:hAnsi="仿宋_GB2312" w:cs="Times New Roman"/>
          <w:color w:val="auto"/>
          <w:szCs w:val="32"/>
          <w:highlight w:val="none"/>
          <w:lang w:eastAsia="zh-CN"/>
        </w:rPr>
        <w:t>、</w:t>
      </w:r>
      <w:r>
        <w:rPr>
          <w:rFonts w:hint="eastAsia" w:ascii="仿宋_GB2312" w:hAnsi="仿宋_GB2312" w:eastAsia="仿宋_GB2312" w:cs="Times New Roman"/>
          <w:b w:val="0"/>
          <w:bCs w:val="0"/>
          <w:color w:val="auto"/>
          <w:sz w:val="32"/>
          <w:szCs w:val="32"/>
          <w:highlight w:val="none"/>
        </w:rPr>
        <w:t>面向东盟合作等战略</w:t>
      </w:r>
      <w:r>
        <w:rPr>
          <w:rFonts w:hint="eastAsia" w:ascii="仿宋_GB2312" w:hAnsi="仿宋_GB2312" w:cs="Times New Roman"/>
          <w:b w:val="0"/>
          <w:bCs w:val="0"/>
          <w:color w:val="auto"/>
          <w:sz w:val="32"/>
          <w:szCs w:val="32"/>
          <w:highlight w:val="none"/>
          <w:lang w:val="en-US" w:eastAsia="zh-CN"/>
        </w:rPr>
        <w:t>窗口</w:t>
      </w:r>
      <w:r>
        <w:rPr>
          <w:rFonts w:hint="eastAsia" w:ascii="仿宋_GB2312" w:hAnsi="仿宋_GB2312" w:eastAsia="仿宋_GB2312" w:cs="Times New Roman"/>
          <w:b w:val="0"/>
          <w:bCs w:val="0"/>
          <w:color w:val="auto"/>
          <w:sz w:val="32"/>
          <w:szCs w:val="32"/>
          <w:highlight w:val="none"/>
        </w:rPr>
        <w:t>，</w:t>
      </w:r>
      <w:r>
        <w:rPr>
          <w:rFonts w:hint="eastAsia" w:ascii="仿宋_GB2312" w:hAnsi="仿宋_GB2312" w:cs="Times New Roman"/>
          <w:b w:val="0"/>
          <w:bCs w:val="0"/>
          <w:color w:val="auto"/>
          <w:sz w:val="32"/>
          <w:szCs w:val="32"/>
          <w:highlight w:val="none"/>
          <w:lang w:val="en-US" w:eastAsia="zh-CN"/>
        </w:rPr>
        <w:t>依托自治区开放合作平台，加强与东盟国家在贸易、投资、文化等方面的深度合作，</w:t>
      </w:r>
      <w:r>
        <w:rPr>
          <w:rFonts w:hint="eastAsia" w:ascii="仿宋_GB2312" w:hAnsi="Times New Roman" w:eastAsia="仿宋_GB2312" w:cs="仿宋_GB2312"/>
          <w:b w:val="0"/>
          <w:bCs w:val="0"/>
          <w:color w:val="auto"/>
          <w:sz w:val="32"/>
          <w:szCs w:val="32"/>
          <w:highlight w:val="none"/>
        </w:rPr>
        <w:t>大力推动特色产品出海、吸引外商投资</w:t>
      </w:r>
      <w:r>
        <w:rPr>
          <w:rFonts w:hint="eastAsia" w:ascii="仿宋_GB2312" w:hAnsi="Times New Roman" w:cs="仿宋_GB2312"/>
          <w:b w:val="0"/>
          <w:bCs w:val="0"/>
          <w:color w:val="auto"/>
          <w:sz w:val="32"/>
          <w:szCs w:val="32"/>
          <w:highlight w:val="none"/>
          <w:lang w:eastAsia="zh-CN"/>
        </w:rPr>
        <w:t>。</w:t>
      </w:r>
    </w:p>
    <w:p w14:paraId="74BA4B58">
      <w:pPr>
        <w:rPr>
          <w:rFonts w:hint="eastAsia" w:eastAsia="仿宋_GB2312"/>
          <w:color w:val="auto"/>
          <w:highlight w:val="none"/>
          <w:u w:val="none" w:color="auto"/>
          <w:lang w:val="en-US" w:eastAsia="zh-CN"/>
        </w:rPr>
      </w:pPr>
      <w:r>
        <w:rPr>
          <w:rFonts w:hint="eastAsia"/>
          <w:color w:val="auto"/>
          <w:highlight w:val="none"/>
          <w:lang w:val="en-US" w:eastAsia="zh-CN"/>
        </w:rPr>
        <w:t>从广西形势来看，作为中国面向东盟开放合作的前沿阵地和重要窗口，广西在“一带一路”倡议中发挥着关键作用，</w:t>
      </w:r>
      <w:r>
        <w:rPr>
          <w:rFonts w:hint="eastAsia" w:ascii="Times New Roman" w:hAnsi="Times New Roman" w:eastAsia="仿宋_GB2312" w:cstheme="minorBidi"/>
          <w:b w:val="0"/>
          <w:bCs w:val="0"/>
          <w:color w:val="auto"/>
          <w:highlight w:val="none"/>
          <w:u w:val="none" w:color="auto"/>
          <w:lang w:val="en-US" w:eastAsia="zh-CN"/>
        </w:rPr>
        <w:t>交通基础设施持续完善，</w:t>
      </w:r>
      <w:r>
        <w:rPr>
          <w:rFonts w:hint="eastAsia" w:eastAsia="仿宋_GB2312"/>
          <w:color w:val="auto"/>
          <w:highlight w:val="none"/>
          <w:u w:val="none" w:color="auto"/>
          <w:lang w:val="en-US" w:eastAsia="zh-CN"/>
        </w:rPr>
        <w:t>平陆运河建成通航，地理优势向经济优势转化</w:t>
      </w:r>
      <w:r>
        <w:rPr>
          <w:rFonts w:hint="eastAsia"/>
          <w:color w:val="auto"/>
          <w:highlight w:val="none"/>
          <w:u w:val="none" w:color="auto"/>
          <w:lang w:val="en-US" w:eastAsia="zh-CN"/>
        </w:rPr>
        <w:t>。“十五五”时期，广西积极贯彻新发展理念，全力推动产业转型升级，出台系列产业扶持政策，设立产业发展基金，重点培育新能源汽车、电子信息、生物医药等新兴产业，促进蔗糖、有色金属、建材等传统产业向高端化、智能化、绿色化转型。</w:t>
      </w:r>
      <w:r>
        <w:rPr>
          <w:rFonts w:hint="eastAsia" w:ascii="仿宋_GB2312" w:hAnsi="仿宋_GB2312" w:cs="Times New Roman"/>
          <w:b w:val="0"/>
          <w:bCs w:val="0"/>
          <w:color w:val="auto"/>
          <w:sz w:val="32"/>
          <w:szCs w:val="32"/>
          <w:highlight w:val="none"/>
          <w:lang w:val="en-US" w:eastAsia="zh-CN"/>
        </w:rPr>
        <w:t>广西将乡村振兴战略作为推动农村发展的重要举措，加大对农村基础设施建设的投入，大力发展特色农业，推动农业产业化发展，加强农村生态环境保护，打造美丽乡村。</w:t>
      </w:r>
      <w:r>
        <w:rPr>
          <w:rFonts w:hint="eastAsia" w:eastAsia="仿宋_GB2312"/>
          <w:color w:val="auto"/>
          <w:highlight w:val="none"/>
          <w:u w:val="none" w:color="auto"/>
          <w:lang w:val="en-US" w:eastAsia="zh-CN"/>
        </w:rPr>
        <w:t>宾阳县</w:t>
      </w:r>
      <w:r>
        <w:rPr>
          <w:rFonts w:hint="eastAsia"/>
          <w:color w:val="auto"/>
          <w:highlight w:val="none"/>
          <w:u w:val="none" w:color="auto"/>
          <w:lang w:val="en-US" w:eastAsia="zh-CN"/>
        </w:rPr>
        <w:t>可借此机遇</w:t>
      </w:r>
      <w:r>
        <w:rPr>
          <w:rFonts w:hint="eastAsia" w:ascii="Times New Roman" w:hAnsi="Times New Roman"/>
          <w:color w:val="auto"/>
          <w:highlight w:val="none"/>
          <w:u w:val="none" w:color="auto"/>
          <w:lang w:val="en-US" w:eastAsia="zh-CN"/>
        </w:rPr>
        <w:t>，做强特色农业品牌，完善农村基础设施，促进农业增效与农村繁荣，</w:t>
      </w:r>
      <w:r>
        <w:rPr>
          <w:rFonts w:hint="eastAsia" w:ascii="Times New Roman" w:hAnsi="Times New Roman" w:cstheme="minorBidi"/>
          <w:b w:val="0"/>
          <w:bCs w:val="0"/>
          <w:color w:val="auto"/>
          <w:sz w:val="32"/>
          <w:szCs w:val="24"/>
          <w:highlight w:val="none"/>
          <w:u w:val="none" w:color="auto"/>
          <w:lang w:val="en-US" w:eastAsia="zh-CN"/>
        </w:rPr>
        <w:t>对农村基础设施建设、特色农业发展提供资金支持，推动宾阳农村经济发展。在新能源、新材料、农产品及食品加工等领域精准发力，力争在自治区产业发展布局中占据优势，获取更多政策支持与产业配套资源。</w:t>
      </w:r>
      <w:r>
        <w:rPr>
          <w:rFonts w:hint="eastAsia" w:ascii="Times New Roman" w:hAnsi="Times New Roman" w:eastAsia="仿宋_GB2312"/>
          <w:color w:val="auto"/>
          <w:highlight w:val="none"/>
          <w:u w:val="none" w:color="auto"/>
          <w:lang w:val="en-US" w:eastAsia="zh-CN"/>
        </w:rPr>
        <w:t>大力</w:t>
      </w:r>
      <w:r>
        <w:rPr>
          <w:rFonts w:hint="eastAsia" w:eastAsia="仿宋_GB2312"/>
          <w:color w:val="auto"/>
          <w:highlight w:val="none"/>
          <w:u w:val="none" w:color="auto"/>
          <w:lang w:val="en-US" w:eastAsia="zh-CN"/>
        </w:rPr>
        <w:t>推动向海经济高质量发展</w:t>
      </w:r>
      <w:r>
        <w:rPr>
          <w:rFonts w:hint="eastAsia" w:ascii="Times New Roman" w:hAnsi="Times New Roman"/>
          <w:color w:val="auto"/>
          <w:highlight w:val="none"/>
          <w:u w:val="none" w:color="auto"/>
          <w:lang w:val="en-US" w:eastAsia="zh-CN"/>
        </w:rPr>
        <w:t>，</w:t>
      </w:r>
      <w:r>
        <w:rPr>
          <w:rFonts w:hint="eastAsia" w:ascii="Times New Roman" w:hAnsi="Times New Roman" w:eastAsia="仿宋_GB2312" w:cstheme="minorBidi"/>
          <w:i w:val="0"/>
          <w:iCs w:val="0"/>
          <w:caps w:val="0"/>
          <w:color w:val="auto"/>
          <w:spacing w:val="0"/>
          <w:sz w:val="32"/>
          <w:szCs w:val="24"/>
          <w:highlight w:val="none"/>
          <w:u w:val="none" w:color="auto"/>
          <w:shd w:val="clear"/>
        </w:rPr>
        <w:t>衔接高效便捷</w:t>
      </w:r>
      <w:r>
        <w:rPr>
          <w:rFonts w:hint="eastAsia" w:ascii="Times New Roman" w:hAnsi="Times New Roman" w:eastAsia="仿宋_GB2312" w:cstheme="minorBidi"/>
          <w:i w:val="0"/>
          <w:iCs w:val="0"/>
          <w:caps w:val="0"/>
          <w:color w:val="auto"/>
          <w:spacing w:val="0"/>
          <w:sz w:val="32"/>
          <w:szCs w:val="24"/>
          <w:highlight w:val="none"/>
          <w:u w:val="none" w:color="auto"/>
          <w:shd w:val="clear"/>
          <w:lang w:val="en-US" w:eastAsia="zh-CN"/>
        </w:rPr>
        <w:t>物流</w:t>
      </w:r>
      <w:r>
        <w:rPr>
          <w:rFonts w:hint="eastAsia" w:ascii="Times New Roman" w:hAnsi="Times New Roman" w:eastAsia="仿宋_GB2312" w:cstheme="minorBidi"/>
          <w:i w:val="0"/>
          <w:iCs w:val="0"/>
          <w:caps w:val="0"/>
          <w:color w:val="auto"/>
          <w:spacing w:val="0"/>
          <w:sz w:val="32"/>
          <w:szCs w:val="24"/>
          <w:highlight w:val="none"/>
          <w:u w:val="none" w:color="auto"/>
          <w:shd w:val="clear"/>
        </w:rPr>
        <w:t>网络</w:t>
      </w:r>
      <w:r>
        <w:rPr>
          <w:rFonts w:hint="eastAsia" w:ascii="Times New Roman" w:hAnsi="Times New Roman" w:cstheme="minorBidi"/>
          <w:i w:val="0"/>
          <w:iCs w:val="0"/>
          <w:caps w:val="0"/>
          <w:color w:val="auto"/>
          <w:spacing w:val="0"/>
          <w:sz w:val="32"/>
          <w:szCs w:val="24"/>
          <w:highlight w:val="none"/>
          <w:u w:val="none" w:color="auto"/>
          <w:shd w:val="clear"/>
          <w:lang w:eastAsia="zh-CN"/>
        </w:rPr>
        <w:t>，</w:t>
      </w:r>
      <w:r>
        <w:rPr>
          <w:rFonts w:hint="eastAsia" w:eastAsia="仿宋_GB2312"/>
          <w:color w:val="auto"/>
          <w:highlight w:val="none"/>
          <w:u w:val="none" w:color="auto"/>
          <w:lang w:val="en-US" w:eastAsia="zh-CN"/>
        </w:rPr>
        <w:t>为优化产业布局、降低物流成本、提升区域竞争力提供有力保障。</w:t>
      </w:r>
    </w:p>
    <w:p w14:paraId="18A7E9E9">
      <w:pPr>
        <w:rPr>
          <w:rFonts w:hint="eastAsia" w:ascii="Times New Roman" w:hAnsi="Times New Roman" w:eastAsia="仿宋_GB2312" w:cstheme="minorBidi"/>
          <w:b w:val="0"/>
          <w:bCs w:val="0"/>
          <w:color w:val="auto"/>
          <w:highlight w:val="none"/>
          <w:u w:val="none" w:color="auto"/>
          <w:lang w:val="en-US" w:eastAsia="zh-CN"/>
        </w:rPr>
      </w:pPr>
      <w:r>
        <w:rPr>
          <w:rFonts w:hint="eastAsia" w:ascii="Times New Roman" w:hAnsi="Times New Roman"/>
          <w:color w:val="auto"/>
          <w:highlight w:val="none"/>
          <w:u w:val="none" w:color="auto"/>
          <w:lang w:val="en-US" w:eastAsia="zh-CN"/>
        </w:rPr>
        <w:t>从南宁形势来看，</w:t>
      </w:r>
      <w:r>
        <w:rPr>
          <w:rFonts w:hint="eastAsia" w:ascii="Times New Roman" w:hAnsi="Times New Roman" w:eastAsia="仿宋_GB2312"/>
          <w:color w:val="auto"/>
          <w:highlight w:val="none"/>
          <w:u w:val="none" w:color="auto"/>
          <w:lang w:val="en-US" w:eastAsia="zh-CN"/>
        </w:rPr>
        <w:t>广西获批建设中国—东盟国家人工智能应用合作中心，</w:t>
      </w:r>
      <w:r>
        <w:rPr>
          <w:rFonts w:hint="eastAsia" w:ascii="Times New Roman" w:hAnsi="Times New Roman"/>
          <w:color w:val="auto"/>
          <w:highlight w:val="none"/>
          <w:u w:val="none" w:color="auto"/>
          <w:lang w:val="en-US" w:eastAsia="zh-CN"/>
        </w:rPr>
        <w:t>南宁</w:t>
      </w:r>
      <w:r>
        <w:rPr>
          <w:rFonts w:hint="eastAsia" w:ascii="Times New Roman" w:hAnsi="Times New Roman" w:eastAsia="仿宋_GB2312"/>
          <w:color w:val="auto"/>
          <w:highlight w:val="none"/>
          <w:u w:val="none" w:color="auto"/>
          <w:lang w:val="en-US" w:eastAsia="zh-CN"/>
        </w:rPr>
        <w:t>产业结构优化升级成效显著，现代服务业蓬勃发展，交通基础设施不断完善，新能源电池等新兴产业快速壮大，造纸、铝加工等传统产业加快转型，电子信息、生物医药、先进装备制造等重点产业集群规模显现，批发零售、交通运输、金融等领域增长显著，交通基础设施不断完善</w:t>
      </w:r>
      <w:r>
        <w:rPr>
          <w:rFonts w:hint="eastAsia" w:ascii="Times New Roman" w:hAnsi="Times New Roman"/>
          <w:color w:val="auto"/>
          <w:highlight w:val="none"/>
          <w:u w:val="none" w:color="auto"/>
          <w:lang w:val="en-US" w:eastAsia="zh-CN"/>
        </w:rPr>
        <w:t>。</w:t>
      </w:r>
      <w:r>
        <w:rPr>
          <w:rFonts w:hint="eastAsia" w:ascii="Times New Roman" w:hAnsi="Times New Roman" w:eastAsia="仿宋_GB2312"/>
          <w:color w:val="auto"/>
          <w:highlight w:val="none"/>
          <w:u w:val="none" w:color="auto"/>
          <w:lang w:val="en-US" w:eastAsia="zh-CN"/>
        </w:rPr>
        <w:t>宾阳县可依托南宁市的辐射带动作用，主动对接上级政策资源和产业生态，积极承接工业智能化转型、电子信息产业升级</w:t>
      </w:r>
      <w:r>
        <w:rPr>
          <w:rFonts w:hint="eastAsia"/>
          <w:color w:val="auto"/>
          <w:highlight w:val="none"/>
          <w:lang w:eastAsia="zh-CN"/>
        </w:rPr>
        <w:t>、</w:t>
      </w:r>
      <w:r>
        <w:rPr>
          <w:rFonts w:hint="eastAsia" w:ascii="Times New Roman" w:hAnsi="Times New Roman" w:eastAsia="仿宋_GB2312"/>
          <w:color w:val="auto"/>
          <w:highlight w:val="none"/>
          <w:u w:val="none" w:color="auto"/>
          <w:lang w:val="en-US" w:eastAsia="zh-CN"/>
        </w:rPr>
        <w:t>传统产业</w:t>
      </w:r>
      <w:r>
        <w:rPr>
          <w:rFonts w:hint="eastAsia" w:ascii="Times New Roman" w:hAnsi="Times New Roman" w:eastAsia="仿宋_GB2312" w:cstheme="minorBidi"/>
          <w:b w:val="0"/>
          <w:bCs w:val="0"/>
          <w:color w:val="auto"/>
          <w:sz w:val="32"/>
          <w:szCs w:val="24"/>
          <w:highlight w:val="none"/>
          <w:u w:val="none" w:color="auto"/>
          <w:lang w:val="en-US" w:eastAsia="zh-CN"/>
        </w:rPr>
        <w:t>智能化</w:t>
      </w:r>
      <w:r>
        <w:rPr>
          <w:rFonts w:hint="eastAsia" w:ascii="Times New Roman" w:hAnsi="Times New Roman" w:eastAsia="仿宋_GB2312"/>
          <w:color w:val="auto"/>
          <w:highlight w:val="none"/>
          <w:u w:val="none" w:color="auto"/>
          <w:lang w:val="en-US" w:eastAsia="zh-CN"/>
        </w:rPr>
        <w:t>转型等，推动宾阳县与南宁市东部新城错位发展，构建具有宾阳特色的现代化产业体系</w:t>
      </w:r>
      <w:r>
        <w:rPr>
          <w:rFonts w:hint="eastAsia" w:ascii="Times New Roman" w:hAnsi="Times New Roman" w:eastAsia="仿宋_GB2312" w:cstheme="minorBidi"/>
          <w:b w:val="0"/>
          <w:bCs w:val="0"/>
          <w:color w:val="auto"/>
          <w:highlight w:val="none"/>
          <w:u w:val="none" w:color="auto"/>
          <w:lang w:val="en-US" w:eastAsia="zh-CN"/>
        </w:rPr>
        <w:t>。</w:t>
      </w:r>
      <w:r>
        <w:rPr>
          <w:rFonts w:hint="eastAsia" w:ascii="Times New Roman" w:hAnsi="Times New Roman" w:cstheme="minorBidi"/>
          <w:b w:val="0"/>
          <w:bCs w:val="0"/>
          <w:color w:val="auto"/>
          <w:highlight w:val="none"/>
          <w:u w:val="none" w:color="auto"/>
          <w:lang w:val="en-US" w:eastAsia="zh-CN"/>
        </w:rPr>
        <w:t>借助</w:t>
      </w:r>
      <w:r>
        <w:rPr>
          <w:rFonts w:hint="eastAsia" w:ascii="Times New Roman" w:hAnsi="Times New Roman" w:cstheme="minorBidi"/>
          <w:b w:val="0"/>
          <w:bCs w:val="0"/>
          <w:color w:val="auto"/>
          <w:sz w:val="32"/>
          <w:szCs w:val="24"/>
          <w:highlight w:val="none"/>
          <w:u w:val="none" w:color="auto"/>
          <w:lang w:val="en-US" w:eastAsia="zh-CN"/>
        </w:rPr>
        <w:t>南宁市层面针对县域经济高质量发展的政策红利，宾阳县在产业升级、项目推进与要素配置等方面获得关键保障，发展动能得到显著增强。</w:t>
      </w:r>
    </w:p>
    <w:p w14:paraId="559F811E">
      <w:pPr>
        <w:rPr>
          <w:rFonts w:hint="eastAsia"/>
          <w:color w:val="auto"/>
          <w:highlight w:val="none"/>
          <w:lang w:val="en-US" w:eastAsia="zh-CN"/>
        </w:rPr>
      </w:pPr>
      <w:r>
        <w:rPr>
          <w:rFonts w:hint="eastAsia" w:ascii="仿宋_GB2312" w:hAnsi="仿宋_GB2312" w:cs="仿宋_GB2312"/>
          <w:b w:val="0"/>
          <w:bCs w:val="0"/>
          <w:color w:val="auto"/>
          <w:highlight w:val="none"/>
          <w:u w:val="none" w:color="auto"/>
          <w:lang w:val="en-US" w:eastAsia="zh-CN"/>
        </w:rPr>
        <w:t>从自身看，</w:t>
      </w:r>
      <w:r>
        <w:rPr>
          <w:rFonts w:hint="eastAsia" w:ascii="仿宋_GB2312" w:hAnsi="仿宋_GB2312" w:eastAsia="仿宋_GB2312" w:cs="仿宋_GB2312"/>
          <w:b w:val="0"/>
          <w:bCs w:val="0"/>
          <w:color w:val="auto"/>
          <w:highlight w:val="none"/>
          <w:u w:val="none" w:color="auto"/>
          <w:lang w:val="en-US" w:eastAsia="zh-CN"/>
        </w:rPr>
        <w:t>宾阳县地处南宁市东北门户，位于桂中南交通枢纽，区位优势</w:t>
      </w:r>
      <w:r>
        <w:rPr>
          <w:rFonts w:hint="eastAsia" w:ascii="仿宋_GB2312" w:hAnsi="仿宋_GB2312" w:cs="仿宋_GB2312"/>
          <w:b w:val="0"/>
          <w:bCs w:val="0"/>
          <w:color w:val="auto"/>
          <w:highlight w:val="none"/>
          <w:u w:val="none" w:color="auto"/>
          <w:lang w:val="en-US" w:eastAsia="zh-CN"/>
        </w:rPr>
        <w:t>突出，辐射周边核心城市群，便于融入粤港澳大湾区与北部湾经济区联动发展，为承接产业转移提供战略支点。</w:t>
      </w:r>
      <w:r>
        <w:rPr>
          <w:rFonts w:hint="eastAsia" w:ascii="仿宋_GB2312" w:hAnsi="仿宋_GB2312" w:eastAsia="仿宋_GB2312" w:cs="仿宋_GB2312"/>
          <w:b w:val="0"/>
          <w:bCs w:val="0"/>
          <w:color w:val="auto"/>
          <w:highlight w:val="none"/>
          <w:u w:val="none" w:color="auto"/>
          <w:lang w:val="en-US" w:eastAsia="zh-CN"/>
        </w:rPr>
        <w:t>交通优势显著，</w:t>
      </w:r>
      <w:r>
        <w:rPr>
          <w:rFonts w:hint="eastAsia" w:ascii="仿宋_GB2312" w:hAnsi="仿宋_GB2312" w:eastAsia="仿宋_GB2312" w:cs="仿宋_GB2312"/>
          <w:color w:val="auto"/>
          <w:sz w:val="32"/>
          <w:szCs w:val="32"/>
          <w:highlight w:val="none"/>
        </w:rPr>
        <w:t>高铁站通达全国8个省市，覆盖广西12个地级市</w:t>
      </w:r>
      <w:r>
        <w:rPr>
          <w:rFonts w:hint="eastAsia" w:ascii="仿宋_GB2312" w:hAnsi="仿宋_GB2312" w:cs="仿宋_GB2312"/>
          <w:color w:val="auto"/>
          <w:sz w:val="32"/>
          <w:szCs w:val="32"/>
          <w:highlight w:val="none"/>
          <w:lang w:eastAsia="zh-CN"/>
        </w:rPr>
        <w:t>，</w:t>
      </w:r>
      <w:r>
        <w:rPr>
          <w:rFonts w:hint="eastAsia" w:ascii="仿宋_GB2312" w:hAnsi="仿宋_GB2312" w:cs="仿宋_GB2312"/>
          <w:color w:val="auto"/>
          <w:sz w:val="32"/>
          <w:szCs w:val="32"/>
          <w:highlight w:val="none"/>
          <w:lang w:val="en-US" w:eastAsia="zh-CN"/>
        </w:rPr>
        <w:t>拥</w:t>
      </w:r>
      <w:r>
        <w:rPr>
          <w:rFonts w:hint="eastAsia" w:ascii="仿宋_GB2312" w:hAnsi="仿宋_GB2312" w:eastAsia="仿宋_GB2312" w:cs="仿宋_GB2312"/>
          <w:color w:val="auto"/>
          <w:sz w:val="32"/>
          <w:szCs w:val="32"/>
          <w:highlight w:val="none"/>
        </w:rPr>
        <w:t>有5条高速公路、9条二级公路、13个高速路口，陆路交通</w:t>
      </w:r>
      <w:r>
        <w:rPr>
          <w:rFonts w:hint="eastAsia" w:ascii="仿宋_GB2312" w:hAnsi="仿宋_GB2312" w:cs="仿宋_GB2312"/>
          <w:color w:val="auto"/>
          <w:sz w:val="32"/>
          <w:szCs w:val="32"/>
          <w:highlight w:val="none"/>
          <w:lang w:val="en-US" w:eastAsia="zh-CN"/>
        </w:rPr>
        <w:t>网络高效畅通，有力促进物流提质增效，推动新型城镇化建设，城乡融合发展；</w:t>
      </w:r>
      <w:r>
        <w:rPr>
          <w:rFonts w:hint="eastAsia" w:ascii="仿宋_GB2312" w:hAnsi="仿宋_GB2312" w:eastAsia="仿宋_GB2312" w:cs="仿宋_GB2312"/>
          <w:b w:val="0"/>
          <w:bCs w:val="0"/>
          <w:color w:val="auto"/>
          <w:highlight w:val="none"/>
          <w:u w:val="none" w:color="auto"/>
          <w:lang w:val="en-US" w:eastAsia="zh-CN"/>
        </w:rPr>
        <w:t>传统工业与农业基础优势更加凸显，以建材、机械、农产品加工</w:t>
      </w:r>
      <w:r>
        <w:rPr>
          <w:rFonts w:hint="eastAsia" w:ascii="仿宋_GB2312" w:hAnsi="仿宋_GB2312" w:cs="仿宋_GB2312"/>
          <w:b w:val="0"/>
          <w:bCs w:val="0"/>
          <w:color w:val="auto"/>
          <w:highlight w:val="none"/>
          <w:u w:val="none" w:color="auto"/>
          <w:lang w:val="en-US" w:eastAsia="zh-CN"/>
        </w:rPr>
        <w:t>、</w:t>
      </w:r>
      <w:r>
        <w:rPr>
          <w:rFonts w:hint="eastAsia"/>
          <w:color w:val="auto"/>
          <w:highlight w:val="none"/>
          <w:lang w:val="en-US" w:eastAsia="zh-CN"/>
        </w:rPr>
        <w:t>电子信息产业</w:t>
      </w:r>
      <w:r>
        <w:rPr>
          <w:rFonts w:hint="eastAsia" w:ascii="仿宋_GB2312" w:hAnsi="仿宋_GB2312" w:eastAsia="仿宋_GB2312" w:cs="仿宋_GB2312"/>
          <w:b w:val="0"/>
          <w:bCs w:val="0"/>
          <w:color w:val="auto"/>
          <w:highlight w:val="none"/>
          <w:u w:val="none" w:color="auto"/>
          <w:lang w:val="en-US" w:eastAsia="zh-CN"/>
        </w:rPr>
        <w:t>等为工业主导，盛产优质稻、蔬菜、畜禽，为产业融合发展提供有力支撑</w:t>
      </w:r>
      <w:r>
        <w:rPr>
          <w:rFonts w:hint="eastAsia" w:ascii="仿宋_GB2312" w:hAnsi="仿宋_GB2312" w:cs="仿宋_GB2312"/>
          <w:b w:val="0"/>
          <w:bCs w:val="0"/>
          <w:color w:val="auto"/>
          <w:highlight w:val="none"/>
          <w:u w:val="none" w:color="auto"/>
          <w:lang w:val="en-US" w:eastAsia="zh-CN"/>
        </w:rPr>
        <w:t>，</w:t>
      </w:r>
      <w:r>
        <w:rPr>
          <w:rFonts w:hint="eastAsia" w:ascii="仿宋_GB2312" w:hAnsi="仿宋_GB2312" w:eastAsia="仿宋_GB2312" w:cs="仿宋_GB2312"/>
          <w:b w:val="0"/>
          <w:bCs w:val="0"/>
          <w:color w:val="auto"/>
          <w:highlight w:val="none"/>
          <w:u w:val="none" w:color="auto"/>
          <w:lang w:val="en-US" w:eastAsia="zh-CN"/>
        </w:rPr>
        <w:t>发展前景更加广阔；面临现代化水网、交通网、能源网加速建成及科创产业深度融合等重大机遇，体现出经济</w:t>
      </w:r>
      <w:r>
        <w:rPr>
          <w:rFonts w:hint="default" w:ascii="仿宋_GB2312" w:hAnsi="仿宋_GB2312" w:eastAsia="仿宋_GB2312" w:cs="仿宋_GB2312"/>
          <w:b w:val="0"/>
          <w:bCs w:val="0"/>
          <w:color w:val="auto"/>
          <w:highlight w:val="none"/>
          <w:u w:val="none" w:color="auto"/>
          <w:lang w:val="en-US" w:eastAsia="zh-CN"/>
        </w:rPr>
        <w:t>潜力较大</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产业协同共进</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创新投入增加</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人才吸引力提升</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新型城镇化加速</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乡村振兴深入推进</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绿色转型加快</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生态环境优化</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区域合作加强</w:t>
      </w:r>
      <w:r>
        <w:rPr>
          <w:rFonts w:hint="eastAsia" w:ascii="仿宋_GB2312" w:hAnsi="仿宋_GB2312" w:eastAsia="仿宋_GB2312" w:cs="仿宋_GB2312"/>
          <w:b w:val="0"/>
          <w:bCs w:val="0"/>
          <w:color w:val="auto"/>
          <w:highlight w:val="none"/>
          <w:u w:val="none" w:color="auto"/>
          <w:lang w:val="en-US" w:eastAsia="zh-CN"/>
        </w:rPr>
        <w:t>，</w:t>
      </w:r>
      <w:r>
        <w:rPr>
          <w:rFonts w:hint="default" w:ascii="仿宋_GB2312" w:hAnsi="仿宋_GB2312" w:eastAsia="仿宋_GB2312" w:cs="仿宋_GB2312"/>
          <w:b w:val="0"/>
          <w:bCs w:val="0"/>
          <w:color w:val="auto"/>
          <w:highlight w:val="none"/>
          <w:u w:val="none" w:color="auto"/>
          <w:lang w:val="en-US" w:eastAsia="zh-CN"/>
        </w:rPr>
        <w:t>营商环境持续优化</w:t>
      </w:r>
      <w:r>
        <w:rPr>
          <w:rFonts w:hint="eastAsia" w:ascii="仿宋_GB2312" w:hAnsi="仿宋_GB2312" w:eastAsia="仿宋_GB2312" w:cs="仿宋_GB2312"/>
          <w:b w:val="0"/>
          <w:bCs w:val="0"/>
          <w:color w:val="auto"/>
          <w:highlight w:val="none"/>
          <w:u w:val="none" w:color="auto"/>
          <w:lang w:val="en-US" w:eastAsia="zh-CN"/>
        </w:rPr>
        <w:t>的发展趋势。</w:t>
      </w:r>
    </w:p>
    <w:p w14:paraId="5A82BE9A">
      <w:pPr>
        <w:pStyle w:val="5"/>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textAlignment w:val="auto"/>
        <w:outlineLvl w:val="2"/>
        <w:rPr>
          <w:rFonts w:hint="default" w:ascii="仿宋_GB2312" w:hAnsi="仿宋_GB2312" w:cs="Times New Roman"/>
          <w:b w:val="0"/>
          <w:bCs w:val="0"/>
          <w:color w:val="auto"/>
          <w:sz w:val="32"/>
          <w:szCs w:val="32"/>
          <w:highlight w:val="none"/>
          <w:lang w:val="en-US" w:eastAsia="zh-CN"/>
        </w:rPr>
      </w:pPr>
      <w:r>
        <w:rPr>
          <w:rFonts w:hint="default" w:ascii="仿宋_GB2312" w:hAnsi="仿宋_GB2312" w:cs="Times New Roman"/>
          <w:b/>
          <w:bCs/>
          <w:color w:val="auto"/>
          <w:sz w:val="32"/>
          <w:szCs w:val="32"/>
          <w:highlight w:val="none"/>
          <w:lang w:val="en-US" w:eastAsia="zh-CN"/>
        </w:rPr>
        <w:t>二、</w:t>
      </w:r>
      <w:r>
        <w:rPr>
          <w:rFonts w:hint="eastAsia" w:ascii="仿宋_GB2312" w:hAnsi="仿宋_GB2312" w:cs="Times New Roman"/>
          <w:b/>
          <w:bCs/>
          <w:color w:val="auto"/>
          <w:sz w:val="32"/>
          <w:szCs w:val="32"/>
          <w:highlight w:val="none"/>
          <w:lang w:val="en-US" w:eastAsia="zh-CN"/>
        </w:rPr>
        <w:t>风险</w:t>
      </w:r>
      <w:r>
        <w:rPr>
          <w:rFonts w:hint="default" w:ascii="仿宋_GB2312" w:hAnsi="仿宋_GB2312" w:cs="Times New Roman"/>
          <w:b/>
          <w:bCs/>
          <w:color w:val="auto"/>
          <w:sz w:val="32"/>
          <w:szCs w:val="32"/>
          <w:highlight w:val="none"/>
          <w:lang w:val="en-US" w:eastAsia="zh-CN"/>
        </w:rPr>
        <w:t>挑战</w:t>
      </w:r>
      <w:r>
        <w:rPr>
          <w:rFonts w:hint="default" w:ascii="仿宋_GB2312" w:hAnsi="仿宋_GB2312" w:cs="Times New Roman"/>
          <w:b w:val="0"/>
          <w:bCs w:val="0"/>
          <w:color w:val="auto"/>
          <w:sz w:val="32"/>
          <w:szCs w:val="32"/>
          <w:highlight w:val="none"/>
          <w:lang w:val="en-US" w:eastAsia="zh-CN"/>
        </w:rPr>
        <w:t>​</w:t>
      </w:r>
    </w:p>
    <w:p w14:paraId="57713043">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firstLine="0"/>
        <w:textAlignment w:val="auto"/>
        <w:outlineLvl w:val="9"/>
        <w:rPr>
          <w:rFonts w:hint="default" w:ascii="仿宋_GB2312" w:hAnsi="仿宋_GB2312" w:cs="Times New Roman"/>
          <w:b w:val="0"/>
          <w:bCs w:val="0"/>
          <w:color w:val="auto"/>
          <w:sz w:val="32"/>
          <w:szCs w:val="32"/>
          <w:highlight w:val="none"/>
          <w:lang w:val="en-US" w:eastAsia="zh-CN"/>
        </w:rPr>
      </w:pPr>
      <w:r>
        <w:rPr>
          <w:rFonts w:hint="default" w:ascii="仿宋_GB2312" w:hAnsi="仿宋_GB2312" w:cs="Times New Roman"/>
          <w:b/>
          <w:bCs/>
          <w:color w:val="auto"/>
          <w:sz w:val="32"/>
          <w:szCs w:val="32"/>
          <w:highlight w:val="none"/>
          <w:lang w:val="en-US" w:eastAsia="zh-CN"/>
        </w:rPr>
        <w:t>经济增长压力较大。</w:t>
      </w:r>
      <w:r>
        <w:rPr>
          <w:rFonts w:hint="default" w:ascii="仿宋_GB2312" w:hAnsi="仿宋_GB2312" w:cs="Times New Roman"/>
          <w:b w:val="0"/>
          <w:bCs w:val="0"/>
          <w:color w:val="auto"/>
          <w:sz w:val="32"/>
          <w:szCs w:val="32"/>
          <w:highlight w:val="none"/>
          <w:lang w:val="en-US" w:eastAsia="zh-CN"/>
        </w:rPr>
        <w:t>“十四五”期间，宾阳县经济增长呈现“两端强，中间弱”M型态势，受经济下行、产业短板等影响，增速持续回落。工业产值、工业投资呈逐年下滑趋势，工业对经济的支撑作用弱化。进入“十五五”谋划期，压力进一步凸显，一方面</w:t>
      </w:r>
      <w:r>
        <w:rPr>
          <w:rFonts w:hint="eastAsia" w:ascii="仿宋_GB2312" w:hAnsi="仿宋_GB2312" w:cs="Times New Roman"/>
          <w:b w:val="0"/>
          <w:bCs w:val="0"/>
          <w:color w:val="auto"/>
          <w:sz w:val="32"/>
          <w:szCs w:val="32"/>
          <w:highlight w:val="none"/>
          <w:lang w:val="en-US" w:eastAsia="zh-CN"/>
        </w:rPr>
        <w:t>经济增长缺乏</w:t>
      </w:r>
      <w:r>
        <w:rPr>
          <w:rFonts w:hint="eastAsia" w:ascii="仿宋_GB2312" w:hAnsi="仿宋_GB2312" w:eastAsia="仿宋_GB2312" w:cs="Times New Roman"/>
          <w:b w:val="0"/>
          <w:bCs w:val="0"/>
          <w:i w:val="0"/>
          <w:iCs w:val="0"/>
          <w:caps w:val="0"/>
          <w:color w:val="auto"/>
          <w:spacing w:val="0"/>
          <w:sz w:val="32"/>
          <w:szCs w:val="32"/>
          <w:highlight w:val="none"/>
          <w:shd w:val="clear"/>
        </w:rPr>
        <w:t>有效支撑</w:t>
      </w:r>
      <w:r>
        <w:rPr>
          <w:rFonts w:hint="eastAsia" w:ascii="仿宋_GB2312" w:hAnsi="仿宋_GB2312" w:cs="Times New Roman"/>
          <w:b w:val="0"/>
          <w:bCs w:val="0"/>
          <w:color w:val="auto"/>
          <w:sz w:val="32"/>
          <w:szCs w:val="32"/>
          <w:highlight w:val="none"/>
          <w:lang w:val="en-US" w:eastAsia="zh-CN"/>
        </w:rPr>
        <w:t>，</w:t>
      </w:r>
      <w:r>
        <w:rPr>
          <w:rFonts w:hint="default" w:ascii="仿宋_GB2312" w:hAnsi="仿宋_GB2312" w:cs="Times New Roman"/>
          <w:b w:val="0"/>
          <w:bCs w:val="0"/>
          <w:color w:val="auto"/>
          <w:sz w:val="32"/>
          <w:szCs w:val="32"/>
          <w:highlight w:val="none"/>
          <w:lang w:val="en-US" w:eastAsia="zh-CN"/>
        </w:rPr>
        <w:t>重点企业盈利能力存在困境，可统筹财力增量有限，低空经济等重点产业尚</w:t>
      </w:r>
      <w:r>
        <w:rPr>
          <w:rFonts w:hint="eastAsia" w:ascii="仿宋_GB2312" w:hAnsi="仿宋_GB2312" w:cs="Times New Roman"/>
          <w:b w:val="0"/>
          <w:bCs w:val="0"/>
          <w:color w:val="auto"/>
          <w:sz w:val="32"/>
          <w:szCs w:val="32"/>
          <w:highlight w:val="none"/>
          <w:lang w:val="en-US" w:eastAsia="zh-CN"/>
        </w:rPr>
        <w:t>处于</w:t>
      </w:r>
      <w:r>
        <w:rPr>
          <w:rFonts w:hint="default" w:ascii="仿宋_GB2312" w:hAnsi="仿宋_GB2312" w:cs="Times New Roman"/>
          <w:b w:val="0"/>
          <w:bCs w:val="0"/>
          <w:color w:val="auto"/>
          <w:sz w:val="32"/>
          <w:szCs w:val="32"/>
          <w:highlight w:val="none"/>
          <w:lang w:val="en-US" w:eastAsia="zh-CN"/>
        </w:rPr>
        <w:t>起步阶段，难以快速填补传统产业下滑缺口，经济增长基础仍不牢固。另一方面</w:t>
      </w:r>
      <w:r>
        <w:rPr>
          <w:rFonts w:hint="eastAsia" w:ascii="仿宋_GB2312" w:hAnsi="仿宋_GB2312" w:cs="Times New Roman"/>
          <w:b w:val="0"/>
          <w:bCs w:val="0"/>
          <w:color w:val="auto"/>
          <w:sz w:val="32"/>
          <w:szCs w:val="32"/>
          <w:highlight w:val="none"/>
          <w:lang w:val="en-US" w:eastAsia="zh-CN"/>
        </w:rPr>
        <w:t>财政力量有限，传统收入来源贡献减弱，新兴产业税收贡献尚需培育，民生保障等刚性支出持续增长，科技攻关等战略性投入亟需加大，加之历史债务负担较重，资产盘活困难，财政收支矛盾较为突出，难以全力聚焦于经济发展。</w:t>
      </w:r>
    </w:p>
    <w:p w14:paraId="010F23E4">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firstLine="0"/>
        <w:textAlignment w:val="auto"/>
        <w:outlineLvl w:val="9"/>
        <w:rPr>
          <w:rFonts w:hint="default"/>
          <w:color w:val="auto"/>
          <w:highlight w:val="none"/>
          <w:lang w:val="en-US" w:eastAsia="zh-CN"/>
        </w:rPr>
      </w:pPr>
      <w:r>
        <w:rPr>
          <w:rFonts w:hint="eastAsia" w:ascii="仿宋_GB2312" w:hAnsi="仿宋_GB2312" w:cs="Times New Roman"/>
          <w:b/>
          <w:bCs/>
          <w:color w:val="auto"/>
          <w:sz w:val="32"/>
          <w:szCs w:val="32"/>
          <w:highlight w:val="none"/>
          <w:lang w:val="en-US" w:eastAsia="zh-CN"/>
        </w:rPr>
        <w:t>工业产业发展存在短板。</w:t>
      </w:r>
      <w:r>
        <w:rPr>
          <w:rFonts w:hint="default" w:ascii="仿宋_GB2312" w:hAnsi="仿宋_GB2312" w:cs="Times New Roman"/>
          <w:b w:val="0"/>
          <w:bCs w:val="0"/>
          <w:color w:val="auto"/>
          <w:sz w:val="32"/>
          <w:szCs w:val="32"/>
          <w:highlight w:val="none"/>
          <w:lang w:val="en-US" w:eastAsia="zh-CN"/>
        </w:rPr>
        <w:t>“十四五”期间，宾阳县</w:t>
      </w:r>
      <w:r>
        <w:rPr>
          <w:rFonts w:hint="eastAsia" w:ascii="仿宋_GB2312" w:hAnsi="仿宋_GB2312" w:cs="Times New Roman"/>
          <w:b w:val="0"/>
          <w:bCs w:val="0"/>
          <w:color w:val="auto"/>
          <w:sz w:val="32"/>
          <w:szCs w:val="32"/>
          <w:highlight w:val="none"/>
          <w:lang w:val="en-US" w:eastAsia="zh-CN"/>
        </w:rPr>
        <w:t>虽然</w:t>
      </w:r>
      <w:r>
        <w:rPr>
          <w:rFonts w:hint="default" w:ascii="仿宋_GB2312" w:hAnsi="仿宋_GB2312" w:cs="Times New Roman"/>
          <w:b w:val="0"/>
          <w:bCs w:val="0"/>
          <w:color w:val="auto"/>
          <w:sz w:val="32"/>
          <w:szCs w:val="32"/>
          <w:highlight w:val="none"/>
          <w:lang w:val="en-US" w:eastAsia="zh-CN"/>
        </w:rPr>
        <w:t>奠定了产业集群基础，但</w:t>
      </w:r>
      <w:r>
        <w:rPr>
          <w:rFonts w:hint="default"/>
          <w:b w:val="0"/>
          <w:bCs w:val="0"/>
          <w:color w:val="auto"/>
          <w:highlight w:val="none"/>
          <w:lang w:val="en-US" w:eastAsia="zh-CN"/>
        </w:rPr>
        <w:t>工业产业发展</w:t>
      </w:r>
      <w:r>
        <w:rPr>
          <w:rFonts w:hint="eastAsia"/>
          <w:b w:val="0"/>
          <w:bCs w:val="0"/>
          <w:color w:val="auto"/>
          <w:highlight w:val="none"/>
          <w:lang w:val="en-US" w:eastAsia="zh-CN"/>
        </w:rPr>
        <w:t>仍</w:t>
      </w:r>
      <w:r>
        <w:rPr>
          <w:rFonts w:hint="default"/>
          <w:b w:val="0"/>
          <w:bCs w:val="0"/>
          <w:color w:val="auto"/>
          <w:highlight w:val="none"/>
          <w:lang w:val="en-US" w:eastAsia="zh-CN"/>
        </w:rPr>
        <w:t>面临结构性矛盾与基础性短板双重制约</w:t>
      </w:r>
      <w:r>
        <w:rPr>
          <w:rFonts w:hint="default" w:ascii="仿宋_GB2312" w:hAnsi="仿宋_GB2312" w:cs="Times New Roman"/>
          <w:b w:val="0"/>
          <w:bCs w:val="0"/>
          <w:color w:val="auto"/>
          <w:sz w:val="32"/>
          <w:szCs w:val="32"/>
          <w:highlight w:val="none"/>
          <w:lang w:val="en-US" w:eastAsia="zh-CN"/>
        </w:rPr>
        <w:t>。产业结构不合理</w:t>
      </w:r>
      <w:r>
        <w:rPr>
          <w:rFonts w:hint="eastAsia" w:ascii="仿宋_GB2312" w:hAnsi="仿宋_GB2312" w:cs="Times New Roman"/>
          <w:b w:val="0"/>
          <w:bCs w:val="0"/>
          <w:color w:val="auto"/>
          <w:sz w:val="32"/>
          <w:szCs w:val="32"/>
          <w:highlight w:val="none"/>
          <w:lang w:val="en-US" w:eastAsia="zh-CN"/>
        </w:rPr>
        <w:t>，</w:t>
      </w:r>
      <w:r>
        <w:rPr>
          <w:rFonts w:hint="default"/>
          <w:b w:val="0"/>
          <w:bCs w:val="0"/>
          <w:color w:val="auto"/>
          <w:highlight w:val="none"/>
          <w:lang w:val="en-US" w:eastAsia="zh-CN"/>
        </w:rPr>
        <w:t>农业</w:t>
      </w:r>
      <w:r>
        <w:rPr>
          <w:rFonts w:hint="default" w:ascii="仿宋_GB2312" w:hAnsi="仿宋_GB2312" w:cs="Times New Roman"/>
          <w:b w:val="0"/>
          <w:bCs w:val="0"/>
          <w:color w:val="auto"/>
          <w:sz w:val="32"/>
          <w:szCs w:val="32"/>
          <w:highlight w:val="none"/>
          <w:lang w:val="en-US" w:eastAsia="zh-CN"/>
        </w:rPr>
        <w:t>“小散弱”</w:t>
      </w:r>
      <w:r>
        <w:rPr>
          <w:rFonts w:hint="default"/>
          <w:b w:val="0"/>
          <w:bCs w:val="0"/>
          <w:color w:val="auto"/>
          <w:highlight w:val="none"/>
          <w:lang w:val="en-US" w:eastAsia="zh-CN"/>
        </w:rPr>
        <w:t>格局未根本扭转，产业链短、附加值低</w:t>
      </w:r>
      <w:r>
        <w:rPr>
          <w:rFonts w:hint="default" w:ascii="仿宋_GB2312" w:hAnsi="仿宋_GB2312" w:cs="Times New Roman"/>
          <w:b w:val="0"/>
          <w:bCs w:val="0"/>
          <w:color w:val="auto"/>
          <w:sz w:val="32"/>
          <w:szCs w:val="32"/>
          <w:highlight w:val="none"/>
          <w:lang w:val="en-US" w:eastAsia="zh-CN"/>
        </w:rPr>
        <w:t>的问题仍然存在</w:t>
      </w:r>
      <w:r>
        <w:rPr>
          <w:rFonts w:hint="default"/>
          <w:b w:val="0"/>
          <w:bCs w:val="0"/>
          <w:color w:val="auto"/>
          <w:highlight w:val="none"/>
          <w:lang w:val="en-US" w:eastAsia="zh-CN"/>
        </w:rPr>
        <w:t>；工业长期依赖林木加工等</w:t>
      </w:r>
      <w:r>
        <w:rPr>
          <w:rFonts w:hint="default" w:ascii="仿宋_GB2312" w:hAnsi="仿宋_GB2312" w:cs="Times New Roman"/>
          <w:b w:val="0"/>
          <w:bCs w:val="0"/>
          <w:color w:val="auto"/>
          <w:sz w:val="32"/>
          <w:szCs w:val="32"/>
          <w:highlight w:val="none"/>
          <w:lang w:val="en-US" w:eastAsia="zh-CN"/>
        </w:rPr>
        <w:t>低附加值</w:t>
      </w:r>
      <w:r>
        <w:rPr>
          <w:rFonts w:hint="default"/>
          <w:b w:val="0"/>
          <w:bCs w:val="0"/>
          <w:color w:val="auto"/>
          <w:highlight w:val="none"/>
          <w:lang w:val="en-US" w:eastAsia="zh-CN"/>
        </w:rPr>
        <w:t>传统路径，</w:t>
      </w:r>
      <w:r>
        <w:rPr>
          <w:rFonts w:hint="default" w:ascii="仿宋_GB2312" w:hAnsi="仿宋_GB2312" w:cs="Times New Roman"/>
          <w:b w:val="0"/>
          <w:bCs w:val="0"/>
          <w:color w:val="auto"/>
          <w:sz w:val="32"/>
          <w:szCs w:val="32"/>
          <w:highlight w:val="none"/>
          <w:lang w:val="en-US" w:eastAsia="zh-CN"/>
        </w:rPr>
        <w:t>木材加工、非金属矿物制品等支柱产业持续疲软</w:t>
      </w:r>
      <w:r>
        <w:rPr>
          <w:rFonts w:hint="eastAsia" w:ascii="仿宋_GB2312" w:hAnsi="仿宋_GB2312" w:cs="Times New Roman"/>
          <w:b w:val="0"/>
          <w:bCs w:val="0"/>
          <w:color w:val="auto"/>
          <w:sz w:val="32"/>
          <w:szCs w:val="32"/>
          <w:highlight w:val="none"/>
          <w:lang w:val="en-US" w:eastAsia="zh-CN"/>
        </w:rPr>
        <w:t>，</w:t>
      </w:r>
      <w:r>
        <w:rPr>
          <w:rFonts w:hint="default"/>
          <w:b w:val="0"/>
          <w:bCs w:val="0"/>
          <w:color w:val="auto"/>
          <w:highlight w:val="none"/>
          <w:lang w:val="en-US" w:eastAsia="zh-CN"/>
        </w:rPr>
        <w:t>先进制造业占比</w:t>
      </w:r>
      <w:r>
        <w:rPr>
          <w:rFonts w:hint="eastAsia"/>
          <w:b w:val="0"/>
          <w:bCs w:val="0"/>
          <w:color w:val="auto"/>
          <w:highlight w:val="none"/>
          <w:lang w:val="en-US" w:eastAsia="zh-CN"/>
        </w:rPr>
        <w:t>较</w:t>
      </w:r>
      <w:r>
        <w:rPr>
          <w:rFonts w:hint="default"/>
          <w:b w:val="0"/>
          <w:bCs w:val="0"/>
          <w:color w:val="auto"/>
          <w:highlight w:val="none"/>
          <w:lang w:val="en-US" w:eastAsia="zh-CN"/>
        </w:rPr>
        <w:t>低，新兴动能培育不足；服务业业态</w:t>
      </w:r>
      <w:r>
        <w:rPr>
          <w:rFonts w:hint="eastAsia"/>
          <w:b w:val="0"/>
          <w:bCs w:val="0"/>
          <w:color w:val="auto"/>
          <w:highlight w:val="none"/>
          <w:lang w:val="en-US" w:eastAsia="zh-CN"/>
        </w:rPr>
        <w:t>培育</w:t>
      </w:r>
      <w:r>
        <w:rPr>
          <w:rFonts w:hint="default"/>
          <w:b w:val="0"/>
          <w:bCs w:val="0"/>
          <w:color w:val="auto"/>
          <w:highlight w:val="none"/>
          <w:lang w:val="en-US" w:eastAsia="zh-CN"/>
        </w:rPr>
        <w:t>滞后，难以</w:t>
      </w:r>
      <w:r>
        <w:rPr>
          <w:rFonts w:hint="default" w:ascii="仿宋_GB2312" w:hAnsi="仿宋_GB2312" w:cs="Times New Roman"/>
          <w:b w:val="0"/>
          <w:bCs w:val="0"/>
          <w:color w:val="auto"/>
          <w:sz w:val="32"/>
          <w:szCs w:val="32"/>
          <w:highlight w:val="none"/>
          <w:lang w:val="en-US" w:eastAsia="zh-CN"/>
        </w:rPr>
        <w:t>支撑</w:t>
      </w:r>
      <w:r>
        <w:rPr>
          <w:rFonts w:hint="default"/>
          <w:b w:val="0"/>
          <w:bCs w:val="0"/>
          <w:color w:val="auto"/>
          <w:highlight w:val="none"/>
          <w:lang w:val="en-US" w:eastAsia="zh-CN"/>
        </w:rPr>
        <w:t>消费升级与经济增长。产业基础</w:t>
      </w:r>
      <w:r>
        <w:rPr>
          <w:rFonts w:hint="eastAsia"/>
          <w:b w:val="0"/>
          <w:bCs w:val="0"/>
          <w:color w:val="auto"/>
          <w:highlight w:val="none"/>
          <w:lang w:val="en-US" w:eastAsia="zh-CN"/>
        </w:rPr>
        <w:t>较为</w:t>
      </w:r>
      <w:r>
        <w:rPr>
          <w:rFonts w:hint="default"/>
          <w:b w:val="0"/>
          <w:bCs w:val="0"/>
          <w:color w:val="auto"/>
          <w:highlight w:val="none"/>
          <w:lang w:val="en-US" w:eastAsia="zh-CN"/>
        </w:rPr>
        <w:t>薄弱</w:t>
      </w:r>
      <w:r>
        <w:rPr>
          <w:rFonts w:hint="eastAsia"/>
          <w:b w:val="0"/>
          <w:bCs w:val="0"/>
          <w:color w:val="auto"/>
          <w:highlight w:val="none"/>
          <w:lang w:val="en-US" w:eastAsia="zh-CN"/>
        </w:rPr>
        <w:t>，</w:t>
      </w:r>
      <w:r>
        <w:rPr>
          <w:rFonts w:hint="default"/>
          <w:b w:val="0"/>
          <w:bCs w:val="0"/>
          <w:color w:val="auto"/>
          <w:highlight w:val="none"/>
          <w:lang w:val="en-US" w:eastAsia="zh-CN"/>
        </w:rPr>
        <w:t>土地承载空间有限，</w:t>
      </w:r>
      <w:r>
        <w:rPr>
          <w:rFonts w:hint="eastAsia"/>
          <w:b w:val="0"/>
          <w:bCs w:val="0"/>
          <w:color w:val="auto"/>
          <w:highlight w:val="none"/>
          <w:lang w:val="en-US" w:eastAsia="zh-CN"/>
        </w:rPr>
        <w:t>招商</w:t>
      </w:r>
      <w:r>
        <w:rPr>
          <w:rFonts w:hint="default"/>
          <w:b w:val="0"/>
          <w:bCs w:val="0"/>
          <w:color w:val="auto"/>
          <w:highlight w:val="none"/>
          <w:lang w:val="en-US" w:eastAsia="zh-CN"/>
        </w:rPr>
        <w:t>项目因</w:t>
      </w:r>
      <w:r>
        <w:rPr>
          <w:rFonts w:hint="eastAsia"/>
          <w:b w:val="0"/>
          <w:bCs w:val="0"/>
          <w:color w:val="auto"/>
          <w:highlight w:val="none"/>
          <w:lang w:val="en-US" w:eastAsia="zh-CN"/>
        </w:rPr>
        <w:t>用</w:t>
      </w:r>
      <w:r>
        <w:rPr>
          <w:rFonts w:hint="default"/>
          <w:b w:val="0"/>
          <w:bCs w:val="0"/>
          <w:color w:val="auto"/>
          <w:highlight w:val="none"/>
          <w:lang w:val="en-US" w:eastAsia="zh-CN"/>
        </w:rPr>
        <w:t>地问题难以落地</w:t>
      </w:r>
      <w:r>
        <w:rPr>
          <w:rFonts w:hint="eastAsia"/>
          <w:b w:val="0"/>
          <w:bCs w:val="0"/>
          <w:color w:val="auto"/>
          <w:highlight w:val="none"/>
          <w:lang w:val="en-US" w:eastAsia="zh-CN"/>
        </w:rPr>
        <w:t>，现有</w:t>
      </w:r>
      <w:r>
        <w:rPr>
          <w:rFonts w:hint="default"/>
          <w:b w:val="0"/>
          <w:bCs w:val="0"/>
          <w:color w:val="auto"/>
          <w:highlight w:val="none"/>
          <w:lang w:val="en-US" w:eastAsia="zh-CN"/>
        </w:rPr>
        <w:t>市场主体普遍存在能级不高、量级不大、贡献率偏低等问题，发展后劲亟待增强。</w:t>
      </w:r>
    </w:p>
    <w:p w14:paraId="2BEF398C">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firstLine="0"/>
        <w:textAlignment w:val="auto"/>
        <w:outlineLvl w:val="9"/>
        <w:rPr>
          <w:rFonts w:hint="default" w:ascii="仿宋_GB2312" w:hAnsi="仿宋_GB2312" w:cs="Times New Roman"/>
          <w:b w:val="0"/>
          <w:bCs w:val="0"/>
          <w:color w:val="auto"/>
          <w:sz w:val="32"/>
          <w:szCs w:val="32"/>
          <w:highlight w:val="none"/>
          <w:lang w:val="en-US" w:eastAsia="zh-CN"/>
        </w:rPr>
      </w:pPr>
      <w:r>
        <w:rPr>
          <w:rFonts w:hint="default" w:ascii="仿宋_GB2312" w:hAnsi="仿宋_GB2312" w:cs="Times New Roman"/>
          <w:b/>
          <w:bCs/>
          <w:color w:val="auto"/>
          <w:sz w:val="32"/>
          <w:szCs w:val="32"/>
          <w:highlight w:val="none"/>
          <w:lang w:val="en-US" w:eastAsia="zh-CN"/>
        </w:rPr>
        <w:t>重大项目储备及投资支撑不足。</w:t>
      </w:r>
      <w:r>
        <w:rPr>
          <w:rFonts w:hint="default" w:ascii="仿宋_GB2312" w:hAnsi="仿宋_GB2312" w:cs="Times New Roman"/>
          <w:b w:val="0"/>
          <w:bCs w:val="0"/>
          <w:color w:val="auto"/>
          <w:sz w:val="32"/>
          <w:szCs w:val="32"/>
          <w:highlight w:val="none"/>
          <w:lang w:val="en-US" w:eastAsia="zh-CN"/>
        </w:rPr>
        <w:t>“十四五”期间，宾阳县虽推进一批重大项目，但存在重建设、轻储备问题。固定资产投资增速和新开工项目数量呈下降趋势，民间投资活力弱，部分重点项目完工后，缺乏可落地的接替项目，后续增长动力接续不足。项目储备与投资增长双疲软，难以满足扩投资、强后劲的需求。</w:t>
      </w:r>
    </w:p>
    <w:p w14:paraId="18DF86FC">
      <w:pPr>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firstLine="0"/>
        <w:textAlignment w:val="auto"/>
        <w:outlineLvl w:val="9"/>
        <w:rPr>
          <w:rFonts w:hint="default" w:ascii="仿宋_GB2312" w:hAnsi="仿宋_GB2312" w:cs="Times New Roman"/>
          <w:b w:val="0"/>
          <w:bCs w:val="0"/>
          <w:color w:val="auto"/>
          <w:sz w:val="32"/>
          <w:szCs w:val="32"/>
          <w:highlight w:val="none"/>
          <w:lang w:val="en-US" w:eastAsia="zh-CN"/>
        </w:rPr>
      </w:pPr>
      <w:r>
        <w:rPr>
          <w:rFonts w:hint="default" w:ascii="仿宋_GB2312" w:hAnsi="仿宋_GB2312" w:cs="Times New Roman"/>
          <w:b/>
          <w:bCs/>
          <w:color w:val="auto"/>
          <w:sz w:val="32"/>
          <w:szCs w:val="32"/>
          <w:highlight w:val="none"/>
          <w:lang w:val="en-US" w:eastAsia="zh-CN"/>
        </w:rPr>
        <w:t>市场竞争日益激烈</w:t>
      </w:r>
      <w:r>
        <w:rPr>
          <w:rFonts w:hint="eastAsia" w:ascii="仿宋_GB2312" w:hAnsi="仿宋_GB2312" w:cs="Times New Roman"/>
          <w:b/>
          <w:bCs/>
          <w:color w:val="auto"/>
          <w:sz w:val="32"/>
          <w:szCs w:val="32"/>
          <w:highlight w:val="none"/>
          <w:lang w:val="en-US" w:eastAsia="zh-CN"/>
        </w:rPr>
        <w:t>。</w:t>
      </w:r>
      <w:r>
        <w:rPr>
          <w:rFonts w:hint="default" w:ascii="仿宋_GB2312" w:hAnsi="仿宋_GB2312" w:cs="Times New Roman"/>
          <w:b w:val="0"/>
          <w:bCs w:val="0"/>
          <w:color w:val="auto"/>
          <w:sz w:val="32"/>
          <w:szCs w:val="32"/>
          <w:highlight w:val="none"/>
          <w:lang w:val="en-US" w:eastAsia="zh-CN"/>
        </w:rPr>
        <w:t>“十四五”以来，宾阳县企业面临</w:t>
      </w:r>
      <w:r>
        <w:rPr>
          <w:rFonts w:hint="eastAsia" w:ascii="仿宋_GB2312" w:hAnsi="仿宋_GB2312" w:cs="Times New Roman"/>
          <w:b w:val="0"/>
          <w:bCs w:val="0"/>
          <w:color w:val="auto"/>
          <w:sz w:val="32"/>
          <w:szCs w:val="32"/>
          <w:highlight w:val="none"/>
          <w:lang w:val="en-US" w:eastAsia="zh-CN"/>
        </w:rPr>
        <w:t>国</w:t>
      </w:r>
      <w:r>
        <w:rPr>
          <w:rFonts w:hint="default" w:ascii="仿宋_GB2312" w:hAnsi="仿宋_GB2312" w:cs="Times New Roman"/>
          <w:b w:val="0"/>
          <w:bCs w:val="0"/>
          <w:color w:val="auto"/>
          <w:sz w:val="32"/>
          <w:szCs w:val="32"/>
          <w:highlight w:val="none"/>
          <w:lang w:val="en-US" w:eastAsia="zh-CN"/>
        </w:rPr>
        <w:t>内外部竞争双重压力。从内部看，木材加工、化学原料等行业产品附加值低，部分企业因订单不足减产。从外部看，周边区域产业承接能力提升，分流传统订单，外贸进出口增速受区域竞争影响放缓。同时，新兴产业尚未形成竞争力，在低空经济、新能源等领域，面临南宁主城及周边县区的激烈竞争。</w:t>
      </w:r>
    </w:p>
    <w:bookmarkEnd w:id="20"/>
    <w:p w14:paraId="6FF71D60">
      <w:pPr>
        <w:widowControl/>
        <w:bidi w:val="0"/>
        <w:ind w:firstLine="0"/>
        <w:outlineLvl w:val="9"/>
        <w:rPr>
          <w:rFonts w:hint="eastAsia"/>
          <w:color w:val="auto"/>
          <w:highlight w:val="none"/>
          <w:lang w:val="en-US" w:eastAsia="zh-CN"/>
        </w:rPr>
      </w:pPr>
      <w:bookmarkStart w:id="21" w:name="_Toc19346"/>
      <w:bookmarkStart w:id="22" w:name="_Toc3641"/>
    </w:p>
    <w:p w14:paraId="048D1AF3">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default" w:cs="Times New Roman"/>
          <w:color w:val="auto"/>
          <w:sz w:val="32"/>
          <w:szCs w:val="32"/>
          <w:highlight w:val="none"/>
          <w:lang w:val="en-US" w:eastAsia="zh-CN"/>
        </w:rPr>
      </w:pPr>
      <w:bookmarkStart w:id="23" w:name="_Toc14625"/>
      <w:bookmarkStart w:id="24" w:name="_Toc17623"/>
      <w:bookmarkStart w:id="25" w:name="_Toc27888"/>
      <w:bookmarkStart w:id="26" w:name="_Toc27921"/>
      <w:r>
        <w:rPr>
          <w:rFonts w:hint="eastAsia" w:cs="Times New Roman"/>
          <w:color w:val="auto"/>
          <w:sz w:val="32"/>
          <w:szCs w:val="32"/>
          <w:highlight w:val="none"/>
          <w:lang w:val="en-US" w:eastAsia="zh-CN"/>
        </w:rPr>
        <w:t>第二章 总体要求</w:t>
      </w:r>
      <w:bookmarkEnd w:id="21"/>
      <w:bookmarkEnd w:id="22"/>
      <w:bookmarkEnd w:id="23"/>
      <w:bookmarkEnd w:id="24"/>
      <w:bookmarkEnd w:id="25"/>
      <w:bookmarkEnd w:id="26"/>
    </w:p>
    <w:p w14:paraId="23329424">
      <w:pPr>
        <w:pStyle w:val="4"/>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27" w:name="_Toc28648"/>
      <w:bookmarkStart w:id="28" w:name="_Toc9986"/>
      <w:bookmarkStart w:id="29" w:name="_Toc29768"/>
      <w:bookmarkStart w:id="30" w:name="_Toc16952"/>
      <w:bookmarkStart w:id="31" w:name="_Toc7999"/>
      <w:bookmarkStart w:id="32" w:name="_Toc4505"/>
      <w:r>
        <w:rPr>
          <w:rFonts w:hint="eastAsia" w:cs="Times New Roman"/>
          <w:color w:val="auto"/>
          <w:sz w:val="32"/>
          <w:szCs w:val="32"/>
          <w:highlight w:val="none"/>
          <w:lang w:val="en-US" w:eastAsia="zh-CN"/>
        </w:rPr>
        <w:t>第一节 指导思想</w:t>
      </w:r>
      <w:bookmarkEnd w:id="27"/>
      <w:bookmarkEnd w:id="28"/>
      <w:bookmarkEnd w:id="29"/>
      <w:bookmarkEnd w:id="30"/>
      <w:bookmarkEnd w:id="31"/>
      <w:bookmarkEnd w:id="32"/>
    </w:p>
    <w:p w14:paraId="63FF7152">
      <w:pPr>
        <w:pageBreakBefore w:val="0"/>
        <w:widowControl/>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Times New Roman"/>
          <w:color w:val="auto"/>
          <w:sz w:val="32"/>
          <w:szCs w:val="32"/>
          <w:highlight w:val="none"/>
          <w:lang w:val="en-US" w:eastAsia="zh-CN"/>
        </w:rPr>
      </w:pPr>
      <w:r>
        <w:rPr>
          <w:rFonts w:hint="eastAsia" w:ascii="仿宋_GB2312" w:hAnsi="仿宋_GB2312" w:cs="Times New Roman"/>
          <w:color w:val="auto"/>
          <w:sz w:val="32"/>
          <w:szCs w:val="32"/>
          <w:highlight w:val="none"/>
          <w:lang w:val="en-US" w:eastAsia="zh-CN"/>
        </w:rPr>
        <w:t>坚持马克思列宁主义、毛泽东思想、邓小平理论、“三个代表”重要思想、科学发展观，全面贯彻习近平新时代中国特色社会主义思想，深入贯彻党的二十大和二十届历次全会精神，统筹推进“五位一体”总体布局，协调推进“四个全面”战略布局，深入贯彻落实习近平总书记关于广西工作论述的重要要求，解放思想、创新求变，向海图强、开放发展，完整准确全面贯彻新发展理念，紧紧围绕铸牢中华民族共同体意识这条主线，牢牢把握构建新发展格局这个战略任务，积极服务构建更为紧密的中国—东盟命运共同体，坚持稳中求进工作总基调，坚持以经济建设为中心，以推动高质量发展为主题，以改革创新为根本动力，以满足人民日益增长的美好生活需要为根本目的，以全面从严治党为根本保障，推动经济实现质的有效提升和量的合理增长，推动人的全面发展、全体人民共同富裕迈出坚实步伐。坚持实干为要、创新为魂，用业绩说话、让人民评价，奋力谱写中国式现代化宾阳篇章，确保与全国全区同步基本实现社会主义现代化取得决定性进展。</w:t>
      </w:r>
    </w:p>
    <w:p w14:paraId="565B4D5B">
      <w:pPr>
        <w:pStyle w:val="4"/>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33" w:name="_Toc24799"/>
      <w:bookmarkStart w:id="34" w:name="_Toc4859"/>
      <w:bookmarkStart w:id="35" w:name="_Toc28862"/>
      <w:bookmarkStart w:id="36" w:name="_Toc12083"/>
      <w:bookmarkStart w:id="37" w:name="_Toc23232"/>
      <w:bookmarkStart w:id="38" w:name="_Toc25427"/>
      <w:r>
        <w:rPr>
          <w:rFonts w:hint="eastAsia" w:cs="Times New Roman"/>
          <w:color w:val="auto"/>
          <w:sz w:val="32"/>
          <w:szCs w:val="32"/>
          <w:highlight w:val="none"/>
          <w:lang w:val="en-US" w:eastAsia="zh-CN"/>
        </w:rPr>
        <w:t>第二节 基本原则</w:t>
      </w:r>
      <w:bookmarkEnd w:id="33"/>
      <w:bookmarkEnd w:id="34"/>
      <w:bookmarkEnd w:id="35"/>
      <w:bookmarkEnd w:id="36"/>
      <w:bookmarkEnd w:id="37"/>
      <w:bookmarkEnd w:id="38"/>
    </w:p>
    <w:p w14:paraId="7E2B6D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olor w:val="auto"/>
          <w:highlight w:val="none"/>
          <w:u w:val="none" w:color="auto"/>
          <w:lang w:val="en-US" w:eastAsia="zh-CN"/>
        </w:rPr>
      </w:pPr>
      <w:r>
        <w:rPr>
          <w:rFonts w:hint="eastAsia" w:ascii="Times New Roman" w:hAnsi="Times New Roman" w:eastAsia="仿宋_GB2312"/>
          <w:color w:val="auto"/>
          <w:highlight w:val="none"/>
          <w:u w:val="none" w:color="auto"/>
          <w:lang w:val="en-US" w:eastAsia="zh-CN"/>
        </w:rPr>
        <w:t>党的二十届四中全会明确坚持党的全面领导、坚持人民至上、坚持高质量发展、坚持全面深化改革、坚持有效市场和有为政府相结合、坚持统筹发展和安全，这是“十五五”时期经济社会发展必须遵循的原则。自治区党委十二届十一次</w:t>
      </w:r>
      <w:r>
        <w:rPr>
          <w:rFonts w:hint="eastAsia" w:eastAsia="仿宋_GB2312"/>
          <w:color w:val="auto"/>
          <w:highlight w:val="none"/>
          <w:u w:val="none" w:color="auto"/>
          <w:lang w:val="en-US" w:eastAsia="zh-CN"/>
        </w:rPr>
        <w:t>全</w:t>
      </w:r>
      <w:r>
        <w:rPr>
          <w:rFonts w:hint="eastAsia" w:ascii="Times New Roman" w:hAnsi="Times New Roman" w:eastAsia="仿宋_GB2312"/>
          <w:color w:val="auto"/>
          <w:highlight w:val="none"/>
          <w:u w:val="none" w:color="auto"/>
          <w:lang w:val="en-US" w:eastAsia="zh-CN"/>
        </w:rPr>
        <w:t>会提出“六个更加注重”和</w:t>
      </w:r>
      <w:r>
        <w:rPr>
          <w:rFonts w:hint="eastAsia" w:eastAsia="仿宋_GB2312"/>
          <w:color w:val="auto"/>
          <w:highlight w:val="none"/>
          <w:u w:val="none" w:color="auto"/>
          <w:lang w:val="en-US" w:eastAsia="zh-CN"/>
        </w:rPr>
        <w:t>南宁</w:t>
      </w:r>
      <w:r>
        <w:rPr>
          <w:rFonts w:hint="eastAsia" w:ascii="Times New Roman" w:hAnsi="Times New Roman" w:eastAsia="仿宋_GB2312"/>
          <w:color w:val="auto"/>
          <w:highlight w:val="none"/>
          <w:u w:val="none" w:color="auto"/>
          <w:lang w:val="en-US" w:eastAsia="zh-CN"/>
        </w:rPr>
        <w:t>市委十三届十一次</w:t>
      </w:r>
      <w:r>
        <w:rPr>
          <w:rFonts w:hint="eastAsia" w:eastAsia="仿宋_GB2312"/>
          <w:color w:val="auto"/>
          <w:highlight w:val="none"/>
          <w:u w:val="none" w:color="auto"/>
          <w:lang w:val="en-US" w:eastAsia="zh-CN"/>
        </w:rPr>
        <w:t>全</w:t>
      </w:r>
      <w:r>
        <w:rPr>
          <w:rFonts w:hint="eastAsia" w:ascii="Times New Roman" w:hAnsi="Times New Roman" w:eastAsia="仿宋_GB2312"/>
          <w:color w:val="auto"/>
          <w:highlight w:val="none"/>
          <w:u w:val="none" w:color="auto"/>
          <w:lang w:val="en-US" w:eastAsia="zh-CN"/>
        </w:rPr>
        <w:t>会提出“</w:t>
      </w:r>
      <w:r>
        <w:rPr>
          <w:rFonts w:hint="eastAsia" w:eastAsia="仿宋_GB2312"/>
          <w:color w:val="auto"/>
          <w:highlight w:val="none"/>
          <w:u w:val="none" w:color="auto"/>
          <w:lang w:val="en-US" w:eastAsia="zh-CN"/>
        </w:rPr>
        <w:t>六</w:t>
      </w:r>
      <w:r>
        <w:rPr>
          <w:rFonts w:hint="eastAsia" w:ascii="Times New Roman" w:hAnsi="Times New Roman" w:eastAsia="仿宋_GB2312"/>
          <w:color w:val="auto"/>
          <w:highlight w:val="none"/>
          <w:u w:val="none" w:color="auto"/>
          <w:lang w:val="en-US" w:eastAsia="zh-CN"/>
        </w:rPr>
        <w:t>个</w:t>
      </w:r>
      <w:r>
        <w:rPr>
          <w:rFonts w:hint="eastAsia" w:eastAsia="仿宋_GB2312"/>
          <w:color w:val="auto"/>
          <w:highlight w:val="none"/>
          <w:u w:val="none" w:color="auto"/>
          <w:lang w:val="en-US" w:eastAsia="zh-CN"/>
        </w:rPr>
        <w:t>突出</w:t>
      </w:r>
      <w:r>
        <w:rPr>
          <w:rFonts w:hint="eastAsia" w:ascii="Times New Roman" w:hAnsi="Times New Roman" w:eastAsia="仿宋_GB2312"/>
          <w:color w:val="auto"/>
          <w:highlight w:val="none"/>
          <w:u w:val="none" w:color="auto"/>
          <w:lang w:val="en-US" w:eastAsia="zh-CN"/>
        </w:rPr>
        <w:t>”的</w:t>
      </w:r>
      <w:r>
        <w:rPr>
          <w:rFonts w:hint="eastAsia" w:eastAsia="仿宋_GB2312"/>
          <w:color w:val="auto"/>
          <w:highlight w:val="none"/>
          <w:u w:val="none" w:color="auto"/>
          <w:lang w:val="en-US" w:eastAsia="zh-CN"/>
        </w:rPr>
        <w:t>基本</w:t>
      </w:r>
      <w:r>
        <w:rPr>
          <w:rFonts w:hint="eastAsia" w:ascii="Times New Roman" w:hAnsi="Times New Roman" w:eastAsia="仿宋_GB2312"/>
          <w:color w:val="auto"/>
          <w:highlight w:val="none"/>
          <w:u w:val="none" w:color="auto"/>
          <w:lang w:val="en-US" w:eastAsia="zh-CN"/>
        </w:rPr>
        <w:t>要求，要结合</w:t>
      </w:r>
      <w:r>
        <w:rPr>
          <w:rFonts w:hint="eastAsia" w:eastAsia="仿宋_GB2312"/>
          <w:color w:val="auto"/>
          <w:highlight w:val="none"/>
          <w:u w:val="none" w:color="auto"/>
          <w:lang w:val="en-US" w:eastAsia="zh-CN"/>
        </w:rPr>
        <w:t>宾阳</w:t>
      </w:r>
      <w:r>
        <w:rPr>
          <w:rFonts w:hint="eastAsia" w:ascii="Times New Roman" w:hAnsi="Times New Roman" w:eastAsia="仿宋_GB2312"/>
          <w:color w:val="auto"/>
          <w:highlight w:val="none"/>
          <w:u w:val="none" w:color="auto"/>
          <w:lang w:val="en-US" w:eastAsia="zh-CN"/>
        </w:rPr>
        <w:t>实际坚决贯彻落实。实践中</w:t>
      </w:r>
      <w:r>
        <w:rPr>
          <w:rFonts w:hint="eastAsia" w:eastAsia="仿宋_GB2312"/>
          <w:color w:val="auto"/>
          <w:highlight w:val="none"/>
          <w:u w:val="none" w:color="auto"/>
          <w:lang w:val="en-US" w:eastAsia="zh-CN"/>
        </w:rPr>
        <w:t>，明确把握“七个聚焦”：</w:t>
      </w:r>
    </w:p>
    <w:p w14:paraId="23F0ECB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color w:val="auto"/>
          <w:highlight w:val="none"/>
          <w:u w:val="none" w:color="auto"/>
          <w:lang w:val="en-US" w:eastAsia="zh-CN"/>
        </w:rPr>
      </w:pPr>
      <w:r>
        <w:rPr>
          <w:rFonts w:hint="eastAsia" w:eastAsia="仿宋_GB2312"/>
          <w:color w:val="auto"/>
          <w:highlight w:val="none"/>
          <w:u w:val="none" w:color="auto"/>
          <w:lang w:val="en-US" w:eastAsia="zh-CN"/>
        </w:rPr>
        <w:t>——聚焦现代化产业体系作为战略支撑。因地制宜发展新质生产力，全面构建产业新生态，错位布局工业产业领域，加快传统产业转型升级，强化人工智能产业引领，培育壮大新兴产业和未来产业，大力推进科技创新、产业创新，推动一二三产业协同升级，以产业提质增效提升县域竞争力。</w:t>
      </w:r>
    </w:p>
    <w:p w14:paraId="46832F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color w:val="auto"/>
          <w:highlight w:val="none"/>
          <w:u w:val="none" w:color="auto"/>
          <w:lang w:val="en-US" w:eastAsia="zh-CN"/>
        </w:rPr>
      </w:pPr>
      <w:r>
        <w:rPr>
          <w:rFonts w:hint="eastAsia" w:eastAsia="仿宋_GB2312"/>
          <w:color w:val="auto"/>
          <w:highlight w:val="none"/>
          <w:u w:val="none" w:color="auto"/>
          <w:lang w:val="en-US" w:eastAsia="zh-CN"/>
        </w:rPr>
        <w:t>——聚焦提振消费扩大投资作为关键抓手。大力提振消费，多措并举扩大内需，释放经济增长新动能。系统推进打基础、利长远的重大工程，持续优化营商环境，激发多元投资活力。聚焦枢纽能级提升，科学布局物流园等基础设施，发展智慧物流等枢纽经济，推动交通优势转化为产业发展优势。</w:t>
      </w:r>
    </w:p>
    <w:p w14:paraId="57BB988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color w:val="auto"/>
          <w:highlight w:val="none"/>
          <w:u w:val="none" w:color="auto"/>
          <w:lang w:val="en-US" w:eastAsia="zh-CN"/>
        </w:rPr>
      </w:pPr>
      <w:r>
        <w:rPr>
          <w:rFonts w:hint="eastAsia" w:eastAsia="仿宋_GB2312"/>
          <w:color w:val="auto"/>
          <w:highlight w:val="none"/>
          <w:u w:val="none" w:color="auto"/>
          <w:lang w:val="en-US" w:eastAsia="zh-CN"/>
        </w:rPr>
        <w:t>——聚焦量质协同发展作为根本要求。强化要素保障和优化配置，持续提升资源配置效率，畅通城乡经济大循环，激活高质量发展动能。明确以质取胜、量质协同的导向，推动关键指标稳健增长，不断增强综合实力，力争实现能级跃升，在全区县域发展中加速赶超、争先进位。</w:t>
      </w:r>
    </w:p>
    <w:p w14:paraId="37DBD99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color w:val="auto"/>
          <w:highlight w:val="none"/>
          <w:u w:val="none" w:color="auto"/>
          <w:lang w:val="en-US" w:eastAsia="zh-CN"/>
        </w:rPr>
      </w:pPr>
      <w:r>
        <w:rPr>
          <w:rFonts w:hint="eastAsia" w:eastAsia="仿宋_GB2312"/>
          <w:color w:val="auto"/>
          <w:highlight w:val="none"/>
          <w:u w:val="none" w:color="auto"/>
          <w:lang w:val="en-US" w:eastAsia="zh-CN"/>
        </w:rPr>
        <w:t>——聚焦现代特色农业作为产业基石。坚决守牢粮食安全底线，突出品牌化标准化，全力打造特色农产品矩阵，促进产业链延伸，推动农产品精深加工，持续深化农文旅融合，拓展农业增效增收空间，推动农业附加值提升，提高乡村产业价值。</w:t>
      </w:r>
    </w:p>
    <w:p w14:paraId="31F3E9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color w:val="auto"/>
          <w:highlight w:val="none"/>
          <w:u w:val="none" w:color="auto"/>
          <w:lang w:val="en-US" w:eastAsia="zh-CN"/>
        </w:rPr>
      </w:pPr>
      <w:r>
        <w:rPr>
          <w:rFonts w:hint="eastAsia" w:eastAsia="仿宋_GB2312"/>
          <w:color w:val="auto"/>
          <w:highlight w:val="none"/>
          <w:u w:val="none" w:color="auto"/>
          <w:lang w:val="en-US" w:eastAsia="zh-CN"/>
        </w:rPr>
        <w:t>——聚焦人民至上作为价值取向。统筹推进新型城镇化和乡村全面振兴，持续巩固拓展脱贫攻坚成果，全面提升城乡公共服务水平，建设宜居宜业宜游和美乡村，不断铸牢中华民族共同体意识，促进兴业、强县、富民一体发展，让现代化建设成果更多更公平惠及全县人民。</w:t>
      </w:r>
    </w:p>
    <w:p w14:paraId="7FDCBA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color w:val="auto"/>
          <w:highlight w:val="none"/>
          <w:u w:val="none" w:color="auto"/>
          <w:lang w:val="en-US" w:eastAsia="zh-CN"/>
        </w:rPr>
      </w:pPr>
      <w:r>
        <w:rPr>
          <w:rFonts w:hint="eastAsia" w:eastAsia="仿宋_GB2312"/>
          <w:color w:val="auto"/>
          <w:highlight w:val="none"/>
          <w:u w:val="none" w:color="auto"/>
          <w:lang w:val="en-US" w:eastAsia="zh-CN"/>
        </w:rPr>
        <w:t>——聚焦绿色低碳发展作为重要前提。坚定不移走生态优先、绿色发展之路，牢固树立和践行绿水青山就是金山银山的理念，协同推进降碳、减污、扩绿、增长，持续发展绿色产业，全力打造高效生产、宜居生活、优美生态空间。</w:t>
      </w:r>
    </w:p>
    <w:p w14:paraId="18A47F7C">
      <w:pPr>
        <w:pageBreakBefore w:val="0"/>
        <w:widowControl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lang w:val="en-US" w:eastAsia="zh-CN"/>
        </w:rPr>
      </w:pPr>
      <w:r>
        <w:rPr>
          <w:rFonts w:hint="eastAsia" w:eastAsia="仿宋_GB2312"/>
          <w:color w:val="auto"/>
          <w:highlight w:val="none"/>
          <w:u w:val="none" w:color="auto"/>
          <w:lang w:val="en-US" w:eastAsia="zh-CN"/>
        </w:rPr>
        <w:t>——聚焦统筹发展和安全作为基本保障。统筹高质量发展和高水平安全良性互动，构建共建共治共享的社会治理格局，提升应急处置能力，持续优化治安环境，有效防范化解各领域重大风险隐患，全力营造更加安全稳定的社会环境</w:t>
      </w:r>
      <w:r>
        <w:rPr>
          <w:rFonts w:hint="eastAsia" w:ascii="Times New Roman" w:hAnsi="Times New Roman" w:eastAsia="仿宋_GB2312"/>
          <w:color w:val="auto"/>
          <w:highlight w:val="none"/>
          <w:u w:val="none" w:color="auto"/>
          <w:lang w:val="en-US" w:eastAsia="zh-CN"/>
        </w:rPr>
        <w:t>。</w:t>
      </w:r>
    </w:p>
    <w:p w14:paraId="133E8A0D">
      <w:pPr>
        <w:pStyle w:val="4"/>
        <w:pageBreakBefore w:val="0"/>
        <w:widowControl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39" w:name="_Toc2661"/>
      <w:bookmarkStart w:id="40" w:name="_Toc297"/>
      <w:bookmarkStart w:id="41" w:name="_Toc25994"/>
      <w:bookmarkStart w:id="42" w:name="_Toc28179"/>
      <w:bookmarkStart w:id="43" w:name="_Toc13699"/>
      <w:bookmarkStart w:id="44" w:name="_Toc24500"/>
      <w:r>
        <w:rPr>
          <w:rFonts w:hint="eastAsia" w:cs="Times New Roman"/>
          <w:color w:val="auto"/>
          <w:sz w:val="32"/>
          <w:szCs w:val="32"/>
          <w:highlight w:val="none"/>
          <w:lang w:val="en-US" w:eastAsia="zh-CN"/>
        </w:rPr>
        <w:t>第三节 发展目标</w:t>
      </w:r>
      <w:bookmarkEnd w:id="39"/>
      <w:bookmarkEnd w:id="40"/>
      <w:bookmarkEnd w:id="41"/>
      <w:bookmarkEnd w:id="42"/>
      <w:bookmarkEnd w:id="43"/>
      <w:bookmarkEnd w:id="44"/>
    </w:p>
    <w:p w14:paraId="6EEA2A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b w:val="0"/>
          <w:bCs w:val="0"/>
          <w:color w:val="auto"/>
          <w:sz w:val="32"/>
          <w:szCs w:val="32"/>
          <w:highlight w:val="none"/>
          <w:u w:val="none" w:color="auto"/>
          <w:lang w:val="en-US" w:eastAsia="zh-CN"/>
        </w:rPr>
      </w:pPr>
      <w:r>
        <w:rPr>
          <w:rFonts w:hint="default" w:cs="Times New Roman"/>
          <w:b w:val="0"/>
          <w:bCs w:val="0"/>
          <w:color w:val="auto"/>
          <w:sz w:val="32"/>
          <w:szCs w:val="32"/>
          <w:highlight w:val="none"/>
          <w:lang w:val="en-US" w:eastAsia="zh-CN"/>
        </w:rPr>
        <w:t>到</w:t>
      </w:r>
      <w:r>
        <w:rPr>
          <w:rFonts w:hint="eastAsia" w:cs="Times New Roman"/>
          <w:b w:val="0"/>
          <w:bCs w:val="0"/>
          <w:color w:val="auto"/>
          <w:sz w:val="32"/>
          <w:szCs w:val="32"/>
          <w:highlight w:val="none"/>
          <w:lang w:val="en-US" w:eastAsia="zh-CN"/>
        </w:rPr>
        <w:t>2030</w:t>
      </w:r>
      <w:r>
        <w:rPr>
          <w:rFonts w:hint="default" w:cs="Times New Roman"/>
          <w:b w:val="0"/>
          <w:bCs w:val="0"/>
          <w:color w:val="auto"/>
          <w:sz w:val="32"/>
          <w:szCs w:val="32"/>
          <w:highlight w:val="none"/>
          <w:lang w:val="en-US" w:eastAsia="zh-CN"/>
        </w:rPr>
        <w:t>年，</w:t>
      </w:r>
      <w:r>
        <w:rPr>
          <w:rFonts w:hint="eastAsia" w:ascii="仿宋_GB2312" w:hAnsi="仿宋_GB2312" w:eastAsia="仿宋_GB2312" w:cs="仿宋_GB2312"/>
          <w:b w:val="0"/>
          <w:bCs w:val="0"/>
          <w:color w:val="auto"/>
          <w:sz w:val="32"/>
          <w:szCs w:val="32"/>
          <w:highlight w:val="none"/>
          <w:u w:val="none" w:color="auto"/>
          <w:lang w:val="en-US" w:eastAsia="zh-CN"/>
        </w:rPr>
        <w:t>实现“六个更加”发展目标：</w:t>
      </w:r>
    </w:p>
    <w:p w14:paraId="086DFC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u w:val="none" w:color="auto"/>
        </w:rPr>
      </w:pP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县域经济基础更加夯实。经济实现平稳健康增长，</w:t>
      </w:r>
      <w:r>
        <w:rPr>
          <w:rFonts w:hint="eastAsia" w:ascii="仿宋_GB2312" w:hAnsi="仿宋_GB2312" w:cs="仿宋_GB2312"/>
          <w:color w:val="auto"/>
          <w:sz w:val="32"/>
          <w:szCs w:val="32"/>
          <w:highlight w:val="none"/>
          <w:u w:val="none" w:color="auto"/>
          <w:lang w:val="en-US" w:eastAsia="zh-CN"/>
        </w:rPr>
        <w:t>地区生产总值400亿元以上，年均增长5.5%，地方一般公共预算收入实现  亿元，</w:t>
      </w:r>
      <w:r>
        <w:rPr>
          <w:rFonts w:hint="eastAsia" w:ascii="仿宋_GB2312" w:hAnsi="仿宋_GB2312" w:eastAsia="仿宋_GB2312" w:cs="仿宋_GB2312"/>
          <w:color w:val="auto"/>
          <w:sz w:val="32"/>
          <w:szCs w:val="32"/>
          <w:highlight w:val="none"/>
          <w:u w:val="none" w:color="auto"/>
          <w:lang w:val="en-US" w:eastAsia="zh-CN"/>
        </w:rPr>
        <w:t>固定资产投资</w:t>
      </w:r>
      <w:r>
        <w:rPr>
          <w:rFonts w:hint="eastAsia" w:ascii="仿宋_GB2312" w:hAnsi="仿宋_GB2312" w:cs="仿宋_GB2312"/>
          <w:color w:val="auto"/>
          <w:sz w:val="32"/>
          <w:szCs w:val="32"/>
          <w:highlight w:val="none"/>
          <w:u w:val="none" w:color="auto"/>
          <w:lang w:val="en-US" w:eastAsia="zh-CN"/>
        </w:rPr>
        <w:t>完成额年均增长3%以上，</w:t>
      </w:r>
      <w:r>
        <w:rPr>
          <w:rFonts w:hint="eastAsia" w:ascii="仿宋_GB2312" w:hAnsi="仿宋_GB2312" w:eastAsia="仿宋_GB2312" w:cs="仿宋_GB2312"/>
          <w:color w:val="auto"/>
          <w:sz w:val="32"/>
          <w:szCs w:val="32"/>
          <w:highlight w:val="none"/>
          <w:u w:val="none" w:color="auto"/>
          <w:lang w:val="en-US" w:eastAsia="zh-CN"/>
        </w:rPr>
        <w:t>城乡居民人均可支配收入等主要指标增速力争高于全市水平，工业增加值保持稳定增长态势，</w:t>
      </w:r>
      <w:r>
        <w:rPr>
          <w:rFonts w:hint="eastAsia" w:ascii="仿宋_GB2312" w:hAnsi="仿宋_GB2312" w:cs="仿宋_GB2312"/>
          <w:color w:val="auto"/>
          <w:sz w:val="32"/>
          <w:szCs w:val="32"/>
          <w:highlight w:val="none"/>
          <w:u w:val="none" w:color="auto"/>
          <w:lang w:val="en-US" w:eastAsia="zh-CN"/>
        </w:rPr>
        <w:t>工业增加值占比同地区生产总值达30%以上，</w:t>
      </w:r>
      <w:r>
        <w:rPr>
          <w:rFonts w:hint="eastAsia" w:ascii="仿宋_GB2312" w:hAnsi="仿宋_GB2312" w:eastAsia="仿宋_GB2312" w:cs="仿宋_GB2312"/>
          <w:strike w:val="0"/>
          <w:dstrike w:val="0"/>
          <w:color w:val="auto"/>
          <w:sz w:val="32"/>
          <w:szCs w:val="32"/>
          <w:highlight w:val="none"/>
          <w:u w:val="none" w:color="auto"/>
          <w:lang w:val="en-US" w:eastAsia="zh-CN"/>
        </w:rPr>
        <w:t>居民收入增长和经济增长同步，</w:t>
      </w:r>
      <w:r>
        <w:rPr>
          <w:rFonts w:hint="eastAsia" w:ascii="仿宋_GB2312" w:hAnsi="仿宋_GB2312" w:eastAsia="仿宋_GB2312" w:cs="仿宋_GB2312"/>
          <w:color w:val="auto"/>
          <w:sz w:val="32"/>
          <w:szCs w:val="32"/>
          <w:highlight w:val="none"/>
          <w:u w:val="none" w:color="auto"/>
          <w:lang w:val="en-US" w:eastAsia="zh-CN"/>
        </w:rPr>
        <w:t>农业基础更加稳固，旅游格局更加优化，县域经济更具活力。</w:t>
      </w:r>
    </w:p>
    <w:p w14:paraId="405EE0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b w:val="0"/>
          <w:bCs w:val="0"/>
          <w:color w:val="auto"/>
          <w:sz w:val="32"/>
          <w:szCs w:val="32"/>
          <w:highlight w:val="none"/>
          <w:u w:val="none" w:color="auto"/>
          <w:lang w:val="en-US" w:eastAsia="zh-CN"/>
        </w:rPr>
        <w:t>产业发展动能更加充沛</w:t>
      </w: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特色产业集群加速集聚，工业转型升级取得突破，新质生产力稳步发展，农业、服务业智慧化转型持续深化，三次产业结构</w:t>
      </w:r>
      <w:r>
        <w:rPr>
          <w:rFonts w:hint="eastAsia" w:ascii="仿宋_GB2312" w:hAnsi="仿宋_GB2312" w:cs="仿宋_GB2312"/>
          <w:color w:val="auto"/>
          <w:sz w:val="32"/>
          <w:szCs w:val="32"/>
          <w:highlight w:val="none"/>
          <w:u w:val="none" w:color="auto"/>
          <w:lang w:val="en-US" w:eastAsia="zh-CN"/>
        </w:rPr>
        <w:t>持续优化，规模以上工业增加值实现快速增长，</w:t>
      </w:r>
      <w:r>
        <w:rPr>
          <w:rFonts w:hint="eastAsia" w:ascii="仿宋_GB2312" w:hAnsi="仿宋_GB2312" w:eastAsia="仿宋_GB2312" w:cs="仿宋_GB2312"/>
          <w:color w:val="auto"/>
          <w:sz w:val="32"/>
          <w:szCs w:val="32"/>
          <w:highlight w:val="none"/>
          <w:u w:val="none" w:color="auto"/>
          <w:lang w:val="en-US" w:eastAsia="zh-CN"/>
        </w:rPr>
        <w:t>产业融合格局进一步优化，城乡区域发展更加协调，高质量发展的现代产业体系基本建立。</w:t>
      </w:r>
    </w:p>
    <w:p w14:paraId="497E36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color w:val="auto"/>
          <w:sz w:val="32"/>
          <w:szCs w:val="32"/>
          <w:highlight w:val="none"/>
          <w:u w:val="none" w:color="auto"/>
          <w:lang w:val="en-US" w:eastAsia="zh-CN"/>
        </w:rPr>
        <w:t>——全面深化改革更加深入。要素市场化配置改革、科技创新产业融合、教育科技人才一体改革、区域协作等领域深入推进，高水平对外开放体制机制更加健全，各类经营主体活力充分激发，高质量发展的内生动力不断增强。</w:t>
      </w:r>
    </w:p>
    <w:p w14:paraId="32D47E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生态文明底色更加靓丽。国土空间开发保护格局更加优化，城乡人居环境明显改善，绿色产业体系形成，生态屏障更加牢固，生态优势持续转化，持续巩固生态环境保护工作成效，森林覆盖率与县城环境空气质量优良率稳步提升</w:t>
      </w:r>
      <w:r>
        <w:rPr>
          <w:rFonts w:hint="eastAsia" w:ascii="仿宋_GB2312" w:hAnsi="仿宋_GB2312" w:cs="仿宋_GB2312"/>
          <w:color w:val="auto"/>
          <w:sz w:val="32"/>
          <w:szCs w:val="32"/>
          <w:highlight w:val="none"/>
          <w:u w:val="none" w:color="auto"/>
          <w:lang w:val="en-US" w:eastAsia="zh-CN"/>
        </w:rPr>
        <w:t>，</w:t>
      </w:r>
      <w:r>
        <w:rPr>
          <w:rFonts w:hint="eastAsia" w:ascii="仿宋_GB2312" w:hAnsi="仿宋_GB2312" w:eastAsia="仿宋_GB2312" w:cs="仿宋_GB2312"/>
          <w:color w:val="auto"/>
          <w:sz w:val="32"/>
          <w:szCs w:val="32"/>
          <w:highlight w:val="none"/>
          <w:u w:val="none" w:color="auto"/>
          <w:lang w:val="en-US" w:eastAsia="zh-CN"/>
        </w:rPr>
        <w:t>与全国全区</w:t>
      </w:r>
      <w:r>
        <w:rPr>
          <w:rFonts w:hint="eastAsia" w:ascii="仿宋_GB2312" w:hAnsi="仿宋_GB2312" w:cs="仿宋_GB2312"/>
          <w:color w:val="auto"/>
          <w:sz w:val="32"/>
          <w:szCs w:val="32"/>
          <w:highlight w:val="none"/>
          <w:u w:val="none" w:color="auto"/>
          <w:lang w:val="en-US" w:eastAsia="zh-CN"/>
        </w:rPr>
        <w:t>全市</w:t>
      </w:r>
      <w:r>
        <w:rPr>
          <w:rFonts w:hint="eastAsia" w:ascii="仿宋_GB2312" w:hAnsi="仿宋_GB2312" w:eastAsia="仿宋_GB2312" w:cs="仿宋_GB2312"/>
          <w:color w:val="auto"/>
          <w:sz w:val="32"/>
          <w:szCs w:val="32"/>
          <w:highlight w:val="none"/>
          <w:u w:val="none" w:color="auto"/>
          <w:lang w:val="en-US" w:eastAsia="zh-CN"/>
        </w:rPr>
        <w:t>同步实现碳达峰目标，积极创建国家生态文明建设示范县，美丽宾阳建设取得显著成效。</w:t>
      </w:r>
    </w:p>
    <w:p w14:paraId="2A4B5A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民生福祉答卷更加暖心。居民收入增长和经济增长同步，基本公共服务均等化水平明显提高，全民受教育程度和社会文明程度明显提升，疾控体系和公共卫生体系更加完善，文化事业繁荣兴盛，文化产业蓬勃发展，就业创业工作更加扎实，社会保障更具质量，脱贫攻坚成效进一步巩固，有力有效推进乡村全面振兴。</w:t>
      </w:r>
    </w:p>
    <w:p w14:paraId="48B7D8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val="0"/>
          <w:bCs w:val="0"/>
          <w:color w:val="auto"/>
          <w:sz w:val="32"/>
          <w:szCs w:val="32"/>
          <w:highlight w:val="none"/>
          <w:u w:val="none" w:color="auto"/>
          <w:lang w:eastAsia="zh-CN"/>
        </w:rPr>
        <w:t>——</w:t>
      </w:r>
      <w:r>
        <w:rPr>
          <w:rFonts w:hint="eastAsia" w:ascii="仿宋_GB2312" w:hAnsi="仿宋_GB2312" w:eastAsia="仿宋_GB2312" w:cs="仿宋_GB2312"/>
          <w:color w:val="auto"/>
          <w:sz w:val="32"/>
          <w:szCs w:val="32"/>
          <w:highlight w:val="none"/>
          <w:u w:val="none" w:color="auto"/>
          <w:lang w:val="en-US" w:eastAsia="zh-CN"/>
        </w:rPr>
        <w:t>社会综合治理更加有序。党建引领的共建共治共享社会治理格局和自治、法治、德治相结合的基层治理体系基本形成，民主法治建设更加健全，严格执法、</w:t>
      </w:r>
      <w:r>
        <w:rPr>
          <w:rFonts w:hint="eastAsia" w:ascii="仿宋_GB2312" w:hAnsi="仿宋_GB2312" w:eastAsia="仿宋_GB2312" w:cs="仿宋_GB2312"/>
          <w:strike w:val="0"/>
          <w:dstrike w:val="0"/>
          <w:color w:val="auto"/>
          <w:sz w:val="32"/>
          <w:szCs w:val="32"/>
          <w:highlight w:val="none"/>
          <w:u w:val="none" w:color="auto"/>
          <w:lang w:val="en-US" w:eastAsia="zh-CN"/>
        </w:rPr>
        <w:t>公正司法、全民守法</w:t>
      </w:r>
      <w:r>
        <w:rPr>
          <w:rFonts w:hint="eastAsia" w:ascii="仿宋_GB2312" w:hAnsi="仿宋_GB2312" w:eastAsia="仿宋_GB2312" w:cs="仿宋_GB2312"/>
          <w:color w:val="auto"/>
          <w:sz w:val="32"/>
          <w:szCs w:val="32"/>
          <w:highlight w:val="none"/>
          <w:u w:val="none" w:color="auto"/>
          <w:lang w:val="en-US" w:eastAsia="zh-CN"/>
        </w:rPr>
        <w:t>更加全面，社会公平正义进一步彰显，突发公共事件应急能力和自然灾害防御水平明显提升，社会更加安定和谐。</w:t>
      </w:r>
    </w:p>
    <w:p w14:paraId="4F9370F5">
      <w:pPr>
        <w:rPr>
          <w:rFonts w:hint="default"/>
          <w:color w:val="auto"/>
          <w:highlight w:val="none"/>
          <w:lang w:val="en-US" w:eastAsia="zh-CN"/>
        </w:rPr>
      </w:pPr>
      <w:r>
        <w:rPr>
          <w:rFonts w:hint="eastAsia" w:ascii="仿宋_GB2312" w:hAnsi="仿宋_GB2312" w:eastAsia="仿宋_GB2312" w:cs="仿宋_GB2312"/>
          <w:color w:val="auto"/>
          <w:sz w:val="32"/>
          <w:szCs w:val="32"/>
          <w:highlight w:val="none"/>
          <w:u w:val="none" w:color="auto"/>
          <w:lang w:val="en-US" w:eastAsia="zh-CN"/>
        </w:rPr>
        <w:t>在此基础上再奋斗五年，到二〇三五年实现综合实力大幅跃升</w:t>
      </w:r>
      <w:r>
        <w:rPr>
          <w:rFonts w:hint="eastAsia" w:ascii="仿宋_GB2312" w:hAnsi="仿宋_GB2312" w:cs="仿宋_GB2312"/>
          <w:color w:val="auto"/>
          <w:sz w:val="32"/>
          <w:szCs w:val="32"/>
          <w:highlight w:val="none"/>
          <w:u w:val="none" w:color="auto"/>
          <w:lang w:val="en-US" w:eastAsia="zh-CN"/>
        </w:rPr>
        <w:t>，</w:t>
      </w:r>
      <w:r>
        <w:rPr>
          <w:rFonts w:hint="eastAsia" w:ascii="仿宋_GB2312" w:hAnsi="仿宋_GB2312" w:cs="仿宋_GB2312"/>
          <w:color w:val="auto"/>
          <w:szCs w:val="32"/>
          <w:highlight w:val="none"/>
          <w:u w:val="none" w:color="auto"/>
          <w:lang w:val="en-US" w:eastAsia="zh-CN"/>
        </w:rPr>
        <w:t>经济总量和城乡居民收入实现新跨越，经济总量占南宁市的比重持续提升，基本实现新型工业化、信息化、城镇化、农业现代化，建成具有宾阳特色的现代化经济体系；创新驱动能力显著增强，城乡发展协调性明显提升，城市功能日益完善；中等收入群体显著扩大，基本公共服务实现均等化，城乡发展差距和居民收入水平差距大幅缩小；基本实现治理体系和治理能力现代化，人民群众平等参与、平等发展权利得到充分保障，法治宾阳、法治政府、法治社会建设达到更高水平；社会文明程度达到新高度，文化软实力显著增强；生态环境质量进一步提升、生态宜居建设目标基本实现；形成对外开放新格局，参与国内外经济合作的竞争新优势明显增强；共同富裕取得实质性进展，</w:t>
      </w:r>
      <w:r>
        <w:rPr>
          <w:rFonts w:hint="eastAsia" w:ascii="仿宋_GB2312" w:hAnsi="仿宋_GB2312" w:eastAsia="仿宋_GB2312" w:cs="仿宋_GB2312"/>
          <w:color w:val="auto"/>
          <w:sz w:val="32"/>
          <w:szCs w:val="32"/>
          <w:highlight w:val="none"/>
          <w:u w:val="none" w:color="auto"/>
          <w:lang w:val="en-US" w:eastAsia="zh-CN"/>
        </w:rPr>
        <w:t>人民生活更加幸福美好，</w:t>
      </w:r>
      <w:r>
        <w:rPr>
          <w:rFonts w:hint="eastAsia" w:ascii="仿宋_GB2312" w:hAnsi="仿宋_GB2312" w:eastAsia="仿宋_GB2312" w:cs="仿宋_GB2312"/>
          <w:color w:val="auto"/>
          <w:sz w:val="32"/>
          <w:szCs w:val="32"/>
          <w:highlight w:val="none"/>
          <w:u w:val="none" w:color="auto"/>
        </w:rPr>
        <w:t>在社会主义现代化建设新征程中走在全区县域前列，</w:t>
      </w:r>
      <w:r>
        <w:rPr>
          <w:rFonts w:hint="eastAsia" w:ascii="仿宋_GB2312" w:hAnsi="仿宋_GB2312" w:eastAsia="仿宋_GB2312" w:cs="仿宋_GB2312"/>
          <w:color w:val="auto"/>
          <w:sz w:val="32"/>
          <w:szCs w:val="32"/>
          <w:highlight w:val="none"/>
          <w:u w:val="none" w:color="auto"/>
          <w:lang w:val="en-US" w:eastAsia="zh-CN"/>
        </w:rPr>
        <w:t>与全国全区全市同步基本实现社会主义现代化</w:t>
      </w:r>
      <w:r>
        <w:rPr>
          <w:rFonts w:hint="eastAsia" w:ascii="仿宋_GB2312" w:hAnsi="仿宋_GB2312" w:cs="仿宋_GB2312"/>
          <w:color w:val="auto"/>
          <w:szCs w:val="32"/>
          <w:highlight w:val="none"/>
          <w:u w:val="none" w:color="auto"/>
          <w:lang w:val="en-US" w:eastAsia="zh-CN"/>
        </w:rPr>
        <w:t>。</w:t>
      </w:r>
    </w:p>
    <w:p w14:paraId="08D1A496">
      <w:pPr>
        <w:pStyle w:val="2"/>
        <w:rPr>
          <w:rFonts w:hint="default"/>
          <w:color w:val="auto"/>
          <w:highlight w:val="none"/>
          <w:lang w:val="en-US" w:eastAsia="zh-CN"/>
        </w:rPr>
      </w:pPr>
    </w:p>
    <w:p w14:paraId="0381703E">
      <w:pPr>
        <w:bidi w:val="0"/>
        <w:spacing w:line="240" w:lineRule="auto"/>
        <w:ind w:firstLine="0" w:firstLineChars="0"/>
        <w:jc w:val="center"/>
        <w:rPr>
          <w:rFonts w:hint="default" w:ascii="黑体" w:hAnsi="黑体" w:eastAsia="黑体" w:cs="Times New Roman"/>
          <w:b/>
          <w:bCs/>
          <w:color w:val="auto"/>
          <w:kern w:val="0"/>
          <w:sz w:val="30"/>
          <w:szCs w:val="30"/>
          <w:highlight w:val="none"/>
          <w:lang w:val="en-US" w:eastAsia="zh-CN"/>
        </w:rPr>
      </w:pPr>
      <w:r>
        <w:rPr>
          <w:rFonts w:hint="eastAsia" w:ascii="黑体" w:hAnsi="黑体" w:eastAsia="黑体" w:cs="Times New Roman"/>
          <w:b/>
          <w:bCs/>
          <w:color w:val="auto"/>
          <w:kern w:val="0"/>
          <w:sz w:val="30"/>
          <w:szCs w:val="30"/>
          <w:highlight w:val="none"/>
          <w:lang w:val="en-US" w:eastAsia="zh-CN"/>
        </w:rPr>
        <w:t>专栏2：“十五五”时期经济社会发展主要指标</w:t>
      </w:r>
    </w:p>
    <w:p w14:paraId="1F241DBC">
      <w:pPr>
        <w:bidi w:val="0"/>
        <w:spacing w:line="240" w:lineRule="auto"/>
        <w:ind w:firstLine="0" w:firstLineChars="0"/>
        <w:jc w:val="center"/>
        <w:rPr>
          <w:rFonts w:hint="default" w:ascii="黑体" w:hAnsi="黑体" w:eastAsia="黑体" w:cs="Times New Roman"/>
          <w:b/>
          <w:bCs/>
          <w:color w:val="auto"/>
          <w:kern w:val="0"/>
          <w:sz w:val="30"/>
          <w:szCs w:val="30"/>
          <w:highlight w:val="none"/>
          <w:lang w:val="en-US" w:eastAsia="zh-CN"/>
        </w:rPr>
      </w:pPr>
    </w:p>
    <w:tbl>
      <w:tblPr>
        <w:tblStyle w:val="13"/>
        <w:tblW w:w="8349" w:type="dxa"/>
        <w:jc w:val="center"/>
        <w:tblLayout w:type="fixed"/>
        <w:tblCellMar>
          <w:top w:w="0" w:type="dxa"/>
          <w:left w:w="108" w:type="dxa"/>
          <w:bottom w:w="0" w:type="dxa"/>
          <w:right w:w="108" w:type="dxa"/>
        </w:tblCellMar>
      </w:tblPr>
      <w:tblGrid>
        <w:gridCol w:w="949"/>
        <w:gridCol w:w="2839"/>
        <w:gridCol w:w="1261"/>
        <w:gridCol w:w="1200"/>
        <w:gridCol w:w="1147"/>
        <w:gridCol w:w="953"/>
      </w:tblGrid>
      <w:tr w14:paraId="078F3DFC">
        <w:tblPrEx>
          <w:tblCellMar>
            <w:top w:w="0" w:type="dxa"/>
            <w:left w:w="108" w:type="dxa"/>
            <w:bottom w:w="0" w:type="dxa"/>
            <w:right w:w="108" w:type="dxa"/>
          </w:tblCellMar>
        </w:tblPrEx>
        <w:trPr>
          <w:trHeight w:val="321" w:hRule="atLeast"/>
          <w:jc w:val="center"/>
        </w:trPr>
        <w:tc>
          <w:tcPr>
            <w:tcW w:w="949" w:type="dxa"/>
            <w:tcBorders>
              <w:top w:val="single" w:color="auto" w:sz="4" w:space="0"/>
              <w:left w:val="single" w:color="auto" w:sz="4" w:space="0"/>
              <w:bottom w:val="single" w:color="000000" w:sz="4" w:space="0"/>
              <w:right w:val="single" w:color="auto" w:sz="4" w:space="0"/>
            </w:tcBorders>
            <w:vAlign w:val="center"/>
          </w:tcPr>
          <w:p w14:paraId="762436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lang w:eastAsia="zh-CN"/>
              </w:rPr>
            </w:pPr>
            <w:r>
              <w:rPr>
                <w:rFonts w:hint="eastAsia" w:asciiTheme="minorEastAsia" w:hAnsiTheme="minorEastAsia" w:eastAsiaTheme="minorEastAsia" w:cstheme="minorEastAsia"/>
                <w:b/>
                <w:bCs/>
                <w:color w:val="auto"/>
                <w:kern w:val="0"/>
                <w:sz w:val="18"/>
                <w:szCs w:val="18"/>
                <w:highlight w:val="none"/>
              </w:rPr>
              <w:t>指标类别</w:t>
            </w:r>
          </w:p>
        </w:tc>
        <w:tc>
          <w:tcPr>
            <w:tcW w:w="2839" w:type="dxa"/>
            <w:tcBorders>
              <w:top w:val="single" w:color="auto" w:sz="4" w:space="0"/>
              <w:left w:val="nil"/>
              <w:bottom w:val="single" w:color="auto" w:sz="4" w:space="0"/>
              <w:right w:val="single" w:color="000000" w:sz="4" w:space="0"/>
            </w:tcBorders>
            <w:noWrap/>
            <w:vAlign w:val="center"/>
          </w:tcPr>
          <w:p w14:paraId="12CCBC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指标名称</w:t>
            </w:r>
          </w:p>
        </w:tc>
        <w:tc>
          <w:tcPr>
            <w:tcW w:w="1261" w:type="dxa"/>
            <w:tcBorders>
              <w:top w:val="single" w:color="auto" w:sz="4" w:space="0"/>
              <w:left w:val="nil"/>
              <w:bottom w:val="single" w:color="auto" w:sz="4" w:space="0"/>
              <w:right w:val="single" w:color="auto" w:sz="4" w:space="0"/>
            </w:tcBorders>
            <w:noWrap/>
            <w:vAlign w:val="center"/>
          </w:tcPr>
          <w:p w14:paraId="72FB96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lang w:val="en-US" w:eastAsia="zh-CN"/>
              </w:rPr>
              <w:t>2025</w:t>
            </w:r>
            <w:r>
              <w:rPr>
                <w:rFonts w:hint="eastAsia" w:asciiTheme="minorEastAsia" w:hAnsiTheme="minorEastAsia" w:eastAsiaTheme="minorEastAsia" w:cstheme="minorEastAsia"/>
                <w:b/>
                <w:bCs/>
                <w:color w:val="auto"/>
                <w:kern w:val="0"/>
                <w:sz w:val="18"/>
                <w:szCs w:val="18"/>
                <w:highlight w:val="none"/>
              </w:rPr>
              <w:t>年</w:t>
            </w:r>
          </w:p>
        </w:tc>
        <w:tc>
          <w:tcPr>
            <w:tcW w:w="1200" w:type="dxa"/>
            <w:tcBorders>
              <w:top w:val="single" w:color="auto" w:sz="4" w:space="0"/>
              <w:left w:val="nil"/>
              <w:bottom w:val="single" w:color="auto" w:sz="4" w:space="0"/>
              <w:right w:val="single" w:color="auto" w:sz="4" w:space="0"/>
            </w:tcBorders>
            <w:noWrap/>
            <w:vAlign w:val="center"/>
          </w:tcPr>
          <w:p w14:paraId="28E686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b/>
                <w:bCs/>
                <w:color w:val="auto"/>
                <w:kern w:val="0"/>
                <w:sz w:val="18"/>
                <w:szCs w:val="18"/>
                <w:highlight w:val="none"/>
                <w:lang w:val="en-US" w:eastAsia="zh-CN"/>
              </w:rPr>
              <w:t>2030</w:t>
            </w:r>
            <w:r>
              <w:rPr>
                <w:rFonts w:hint="eastAsia" w:asciiTheme="minorEastAsia" w:hAnsiTheme="minorEastAsia" w:eastAsiaTheme="minorEastAsia" w:cstheme="minorEastAsia"/>
                <w:b/>
                <w:bCs/>
                <w:color w:val="auto"/>
                <w:kern w:val="0"/>
                <w:sz w:val="18"/>
                <w:szCs w:val="18"/>
                <w:highlight w:val="none"/>
              </w:rPr>
              <w:t>年</w:t>
            </w:r>
          </w:p>
        </w:tc>
        <w:tc>
          <w:tcPr>
            <w:tcW w:w="1147" w:type="dxa"/>
            <w:tcBorders>
              <w:top w:val="single" w:color="auto" w:sz="4" w:space="0"/>
              <w:left w:val="nil"/>
              <w:bottom w:val="single" w:color="auto" w:sz="4" w:space="0"/>
              <w:right w:val="single" w:color="auto" w:sz="4" w:space="0"/>
            </w:tcBorders>
            <w:noWrap/>
            <w:vAlign w:val="center"/>
          </w:tcPr>
          <w:p w14:paraId="7A1E40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lang w:val="en-US" w:eastAsia="zh-CN"/>
              </w:rPr>
            </w:pPr>
            <w:r>
              <w:rPr>
                <w:rFonts w:hint="eastAsia" w:asciiTheme="minorEastAsia" w:hAnsiTheme="minorEastAsia" w:eastAsiaTheme="minorEastAsia" w:cstheme="minorEastAsia"/>
                <w:b/>
                <w:bCs/>
                <w:color w:val="auto"/>
                <w:kern w:val="0"/>
                <w:sz w:val="18"/>
                <w:szCs w:val="18"/>
                <w:highlight w:val="none"/>
                <w:lang w:val="en-US" w:eastAsia="zh-CN" w:bidi="ar"/>
              </w:rPr>
              <w:t>年均增长 (%)/五年累计</w:t>
            </w:r>
          </w:p>
        </w:tc>
        <w:tc>
          <w:tcPr>
            <w:tcW w:w="953" w:type="dxa"/>
            <w:tcBorders>
              <w:top w:val="single" w:color="auto" w:sz="4" w:space="0"/>
              <w:left w:val="nil"/>
              <w:bottom w:val="single" w:color="auto" w:sz="4" w:space="0"/>
              <w:right w:val="single" w:color="auto" w:sz="4" w:space="0"/>
            </w:tcBorders>
            <w:shd w:val="clear" w:color="auto" w:fill="auto"/>
            <w:vAlign w:val="center"/>
          </w:tcPr>
          <w:p w14:paraId="548219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属性</w:t>
            </w:r>
          </w:p>
        </w:tc>
      </w:tr>
      <w:tr w14:paraId="433451FC">
        <w:tblPrEx>
          <w:tblCellMar>
            <w:top w:w="0" w:type="dxa"/>
            <w:left w:w="108" w:type="dxa"/>
            <w:bottom w:w="0" w:type="dxa"/>
            <w:right w:w="108" w:type="dxa"/>
          </w:tblCellMar>
        </w:tblPrEx>
        <w:trPr>
          <w:trHeight w:val="321" w:hRule="atLeast"/>
          <w:jc w:val="center"/>
        </w:trPr>
        <w:tc>
          <w:tcPr>
            <w:tcW w:w="949" w:type="dxa"/>
            <w:vMerge w:val="restart"/>
            <w:tcBorders>
              <w:top w:val="nil"/>
              <w:left w:val="single" w:color="auto" w:sz="4" w:space="0"/>
              <w:bottom w:val="single" w:color="000000" w:sz="4" w:space="0"/>
              <w:right w:val="single" w:color="auto" w:sz="4" w:space="0"/>
            </w:tcBorders>
            <w:vAlign w:val="center"/>
          </w:tcPr>
          <w:p w14:paraId="23818D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lang w:eastAsia="zh-CN"/>
              </w:rPr>
              <w:t>经济发展（</w:t>
            </w:r>
            <w:r>
              <w:rPr>
                <w:rFonts w:hint="eastAsia" w:asciiTheme="minorEastAsia" w:hAnsiTheme="minorEastAsia" w:eastAsiaTheme="minorEastAsia" w:cstheme="minorEastAsia"/>
                <w:b/>
                <w:bCs/>
                <w:color w:val="auto"/>
                <w:kern w:val="0"/>
                <w:sz w:val="18"/>
                <w:szCs w:val="18"/>
                <w:highlight w:val="none"/>
                <w:lang w:val="en-US" w:eastAsia="zh-CN"/>
              </w:rPr>
              <w:t>6个</w:t>
            </w:r>
            <w:r>
              <w:rPr>
                <w:rFonts w:hint="eastAsia" w:asciiTheme="minorEastAsia" w:hAnsiTheme="minorEastAsia" w:eastAsiaTheme="minorEastAsia" w:cstheme="minorEastAsia"/>
                <w:b/>
                <w:bCs/>
                <w:color w:val="auto"/>
                <w:kern w:val="0"/>
                <w:sz w:val="18"/>
                <w:szCs w:val="18"/>
                <w:highlight w:val="none"/>
                <w:lang w:eastAsia="zh-CN"/>
              </w:rPr>
              <w:t>）</w:t>
            </w:r>
          </w:p>
        </w:tc>
        <w:tc>
          <w:tcPr>
            <w:tcW w:w="2839" w:type="dxa"/>
            <w:tcBorders>
              <w:top w:val="single" w:color="auto" w:sz="4" w:space="0"/>
              <w:left w:val="nil"/>
              <w:bottom w:val="single" w:color="auto" w:sz="4" w:space="0"/>
              <w:right w:val="single" w:color="000000" w:sz="4" w:space="0"/>
            </w:tcBorders>
            <w:noWrap/>
            <w:vAlign w:val="center"/>
          </w:tcPr>
          <w:p w14:paraId="58F1BA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1.地区生产总值增长(%)</w:t>
            </w:r>
          </w:p>
        </w:tc>
        <w:tc>
          <w:tcPr>
            <w:tcW w:w="1261" w:type="dxa"/>
            <w:tcBorders>
              <w:top w:val="nil"/>
              <w:left w:val="nil"/>
              <w:bottom w:val="single" w:color="auto" w:sz="4" w:space="0"/>
              <w:right w:val="single" w:color="auto" w:sz="4" w:space="0"/>
            </w:tcBorders>
            <w:noWrap/>
            <w:vAlign w:val="center"/>
          </w:tcPr>
          <w:p w14:paraId="114678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200" w:type="dxa"/>
            <w:tcBorders>
              <w:top w:val="nil"/>
              <w:left w:val="nil"/>
              <w:bottom w:val="single" w:color="auto" w:sz="4" w:space="0"/>
              <w:right w:val="single" w:color="auto" w:sz="4" w:space="0"/>
            </w:tcBorders>
            <w:noWrap/>
            <w:vAlign w:val="center"/>
          </w:tcPr>
          <w:p w14:paraId="068426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default"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147" w:type="dxa"/>
            <w:tcBorders>
              <w:top w:val="nil"/>
              <w:left w:val="nil"/>
              <w:bottom w:val="single" w:color="auto" w:sz="4" w:space="0"/>
              <w:right w:val="single" w:color="auto" w:sz="4" w:space="0"/>
            </w:tcBorders>
            <w:noWrap/>
            <w:vAlign w:val="center"/>
          </w:tcPr>
          <w:p w14:paraId="3813B2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default"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5.5</w:t>
            </w:r>
          </w:p>
        </w:tc>
        <w:tc>
          <w:tcPr>
            <w:tcW w:w="953" w:type="dxa"/>
            <w:tcBorders>
              <w:top w:val="nil"/>
              <w:left w:val="nil"/>
              <w:bottom w:val="single" w:color="auto" w:sz="4" w:space="0"/>
              <w:right w:val="single" w:color="auto" w:sz="4" w:space="0"/>
            </w:tcBorders>
            <w:shd w:val="clear" w:color="auto" w:fill="auto"/>
            <w:vAlign w:val="center"/>
          </w:tcPr>
          <w:p w14:paraId="48FD61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0E5457D9">
        <w:tblPrEx>
          <w:tblCellMar>
            <w:top w:w="0" w:type="dxa"/>
            <w:left w:w="108" w:type="dxa"/>
            <w:bottom w:w="0" w:type="dxa"/>
            <w:right w:w="108" w:type="dxa"/>
          </w:tblCellMar>
        </w:tblPrEx>
        <w:trPr>
          <w:trHeight w:val="281" w:hRule="atLeast"/>
          <w:jc w:val="center"/>
        </w:trPr>
        <w:tc>
          <w:tcPr>
            <w:tcW w:w="949" w:type="dxa"/>
            <w:vMerge w:val="continue"/>
            <w:tcBorders>
              <w:top w:val="nil"/>
              <w:left w:val="single" w:color="auto" w:sz="4" w:space="0"/>
              <w:bottom w:val="single" w:color="000000" w:sz="4" w:space="0"/>
              <w:right w:val="single" w:color="auto" w:sz="4" w:space="0"/>
            </w:tcBorders>
            <w:vAlign w:val="center"/>
          </w:tcPr>
          <w:p w14:paraId="7F75CC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noWrap/>
            <w:vAlign w:val="center"/>
          </w:tcPr>
          <w:p w14:paraId="1CB5D3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2.全员劳动生产率增长(%)</w:t>
            </w:r>
          </w:p>
        </w:tc>
        <w:tc>
          <w:tcPr>
            <w:tcW w:w="1261" w:type="dxa"/>
            <w:tcBorders>
              <w:top w:val="nil"/>
              <w:left w:val="nil"/>
              <w:bottom w:val="single" w:color="auto" w:sz="4" w:space="0"/>
              <w:right w:val="single" w:color="auto" w:sz="4" w:space="0"/>
            </w:tcBorders>
            <w:shd w:val="clear" w:color="auto" w:fill="auto"/>
            <w:noWrap/>
            <w:vAlign w:val="center"/>
          </w:tcPr>
          <w:p w14:paraId="34399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200" w:type="dxa"/>
            <w:tcBorders>
              <w:top w:val="nil"/>
              <w:left w:val="nil"/>
              <w:bottom w:val="single" w:color="auto" w:sz="4" w:space="0"/>
              <w:right w:val="single" w:color="auto" w:sz="4" w:space="0"/>
            </w:tcBorders>
            <w:shd w:val="clear" w:color="auto" w:fill="auto"/>
            <w:noWrap/>
            <w:vAlign w:val="center"/>
          </w:tcPr>
          <w:p w14:paraId="181FC0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default"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147" w:type="dxa"/>
            <w:tcBorders>
              <w:top w:val="nil"/>
              <w:left w:val="nil"/>
              <w:bottom w:val="single" w:color="auto" w:sz="4" w:space="0"/>
              <w:right w:val="single" w:color="auto" w:sz="4" w:space="0"/>
            </w:tcBorders>
            <w:noWrap/>
            <w:vAlign w:val="center"/>
          </w:tcPr>
          <w:p w14:paraId="6B7069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高于地区生产总值增长</w:t>
            </w:r>
          </w:p>
        </w:tc>
        <w:tc>
          <w:tcPr>
            <w:tcW w:w="953" w:type="dxa"/>
            <w:tcBorders>
              <w:top w:val="nil"/>
              <w:left w:val="nil"/>
              <w:bottom w:val="single" w:color="auto" w:sz="4" w:space="0"/>
              <w:right w:val="single" w:color="auto" w:sz="4" w:space="0"/>
            </w:tcBorders>
            <w:shd w:val="clear" w:color="auto" w:fill="auto"/>
            <w:vAlign w:val="center"/>
          </w:tcPr>
          <w:p w14:paraId="43FE03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308FA04F">
        <w:tblPrEx>
          <w:tblCellMar>
            <w:top w:w="0" w:type="dxa"/>
            <w:left w:w="108" w:type="dxa"/>
            <w:bottom w:w="0" w:type="dxa"/>
            <w:right w:w="108" w:type="dxa"/>
          </w:tblCellMar>
        </w:tblPrEx>
        <w:trPr>
          <w:trHeight w:val="285" w:hRule="atLeast"/>
          <w:jc w:val="center"/>
        </w:trPr>
        <w:tc>
          <w:tcPr>
            <w:tcW w:w="949" w:type="dxa"/>
            <w:vMerge w:val="continue"/>
            <w:tcBorders>
              <w:top w:val="nil"/>
              <w:left w:val="single" w:color="auto" w:sz="4" w:space="0"/>
              <w:bottom w:val="single" w:color="000000" w:sz="4" w:space="0"/>
              <w:right w:val="single" w:color="auto" w:sz="4" w:space="0"/>
            </w:tcBorders>
            <w:vAlign w:val="center"/>
          </w:tcPr>
          <w:p w14:paraId="6BAF17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noWrap/>
            <w:vAlign w:val="center"/>
          </w:tcPr>
          <w:p w14:paraId="6DB647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3.工业增加值占地区生产总值比重(%)</w:t>
            </w:r>
          </w:p>
        </w:tc>
        <w:tc>
          <w:tcPr>
            <w:tcW w:w="1261" w:type="dxa"/>
            <w:tcBorders>
              <w:top w:val="nil"/>
              <w:left w:val="nil"/>
              <w:bottom w:val="single" w:color="auto" w:sz="4" w:space="0"/>
              <w:right w:val="single" w:color="auto" w:sz="4" w:space="0"/>
            </w:tcBorders>
            <w:noWrap/>
            <w:vAlign w:val="center"/>
          </w:tcPr>
          <w:p w14:paraId="72A9D6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nil"/>
              <w:left w:val="nil"/>
              <w:bottom w:val="single" w:color="auto" w:sz="4" w:space="0"/>
              <w:right w:val="single" w:color="auto" w:sz="4" w:space="0"/>
            </w:tcBorders>
            <w:noWrap/>
            <w:vAlign w:val="center"/>
          </w:tcPr>
          <w:p w14:paraId="62E066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30</w:t>
            </w:r>
          </w:p>
        </w:tc>
        <w:tc>
          <w:tcPr>
            <w:tcW w:w="1147" w:type="dxa"/>
            <w:tcBorders>
              <w:top w:val="nil"/>
              <w:left w:val="nil"/>
              <w:bottom w:val="single" w:color="auto" w:sz="4" w:space="0"/>
              <w:right w:val="single" w:color="auto" w:sz="4" w:space="0"/>
            </w:tcBorders>
            <w:shd w:val="clear" w:color="auto" w:fill="auto"/>
            <w:noWrap/>
            <w:vAlign w:val="center"/>
          </w:tcPr>
          <w:p w14:paraId="457FAD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nil"/>
              <w:left w:val="nil"/>
              <w:bottom w:val="single" w:color="auto" w:sz="4" w:space="0"/>
              <w:right w:val="single" w:color="auto" w:sz="4" w:space="0"/>
            </w:tcBorders>
            <w:shd w:val="clear" w:color="auto" w:fill="auto"/>
            <w:vAlign w:val="center"/>
          </w:tcPr>
          <w:p w14:paraId="4ED862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55F9E7E5">
        <w:tblPrEx>
          <w:tblCellMar>
            <w:top w:w="0" w:type="dxa"/>
            <w:left w:w="108" w:type="dxa"/>
            <w:bottom w:w="0" w:type="dxa"/>
            <w:right w:w="108" w:type="dxa"/>
          </w:tblCellMar>
        </w:tblPrEx>
        <w:trPr>
          <w:trHeight w:val="285" w:hRule="atLeast"/>
          <w:jc w:val="center"/>
        </w:trPr>
        <w:tc>
          <w:tcPr>
            <w:tcW w:w="949" w:type="dxa"/>
            <w:vMerge w:val="continue"/>
            <w:tcBorders>
              <w:top w:val="nil"/>
              <w:left w:val="single" w:color="auto" w:sz="4" w:space="0"/>
              <w:bottom w:val="single" w:color="000000" w:sz="4" w:space="0"/>
              <w:right w:val="single" w:color="auto" w:sz="4" w:space="0"/>
            </w:tcBorders>
            <w:vAlign w:val="center"/>
          </w:tcPr>
          <w:p w14:paraId="649DE7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noWrap/>
            <w:vAlign w:val="center"/>
          </w:tcPr>
          <w:p w14:paraId="1952B1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4.生产性服务业增加值占服务业增加值比重(%)</w:t>
            </w:r>
          </w:p>
        </w:tc>
        <w:tc>
          <w:tcPr>
            <w:tcW w:w="1261" w:type="dxa"/>
            <w:tcBorders>
              <w:top w:val="nil"/>
              <w:left w:val="nil"/>
              <w:bottom w:val="single" w:color="auto" w:sz="4" w:space="0"/>
              <w:right w:val="single" w:color="auto" w:sz="4" w:space="0"/>
            </w:tcBorders>
            <w:noWrap/>
            <w:vAlign w:val="center"/>
          </w:tcPr>
          <w:p w14:paraId="4C1DA8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nil"/>
              <w:left w:val="nil"/>
              <w:bottom w:val="single" w:color="auto" w:sz="4" w:space="0"/>
              <w:right w:val="single" w:color="auto" w:sz="4" w:space="0"/>
            </w:tcBorders>
            <w:noWrap/>
            <w:vAlign w:val="center"/>
          </w:tcPr>
          <w:p w14:paraId="253604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nil"/>
              <w:left w:val="nil"/>
              <w:bottom w:val="single" w:color="auto" w:sz="4" w:space="0"/>
              <w:right w:val="single" w:color="auto" w:sz="4" w:space="0"/>
            </w:tcBorders>
            <w:noWrap/>
            <w:vAlign w:val="center"/>
          </w:tcPr>
          <w:p w14:paraId="3BA8BA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nil"/>
              <w:left w:val="nil"/>
              <w:bottom w:val="single" w:color="auto" w:sz="4" w:space="0"/>
              <w:right w:val="single" w:color="auto" w:sz="4" w:space="0"/>
            </w:tcBorders>
            <w:shd w:val="clear" w:color="auto" w:fill="auto"/>
            <w:vAlign w:val="center"/>
          </w:tcPr>
          <w:p w14:paraId="1A9972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7539A4C5">
        <w:tblPrEx>
          <w:tblCellMar>
            <w:top w:w="0" w:type="dxa"/>
            <w:left w:w="108" w:type="dxa"/>
            <w:bottom w:w="0" w:type="dxa"/>
            <w:right w:w="108" w:type="dxa"/>
          </w:tblCellMar>
        </w:tblPrEx>
        <w:trPr>
          <w:trHeight w:val="285" w:hRule="atLeast"/>
          <w:jc w:val="center"/>
        </w:trPr>
        <w:tc>
          <w:tcPr>
            <w:tcW w:w="949" w:type="dxa"/>
            <w:vMerge w:val="continue"/>
            <w:tcBorders>
              <w:top w:val="nil"/>
              <w:left w:val="single" w:color="auto" w:sz="4" w:space="0"/>
              <w:bottom w:val="single" w:color="000000" w:sz="4" w:space="0"/>
              <w:right w:val="single" w:color="auto" w:sz="4" w:space="0"/>
            </w:tcBorders>
            <w:vAlign w:val="center"/>
          </w:tcPr>
          <w:p w14:paraId="60C841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noWrap/>
            <w:vAlign w:val="center"/>
          </w:tcPr>
          <w:p w14:paraId="56AC87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5.农产品加工业与农业总产值比(%)</w:t>
            </w:r>
          </w:p>
        </w:tc>
        <w:tc>
          <w:tcPr>
            <w:tcW w:w="1261" w:type="dxa"/>
            <w:tcBorders>
              <w:top w:val="nil"/>
              <w:left w:val="nil"/>
              <w:bottom w:val="single" w:color="auto" w:sz="4" w:space="0"/>
              <w:right w:val="single" w:color="auto" w:sz="4" w:space="0"/>
            </w:tcBorders>
            <w:noWrap/>
            <w:vAlign w:val="center"/>
          </w:tcPr>
          <w:p w14:paraId="3ED801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nil"/>
              <w:left w:val="nil"/>
              <w:bottom w:val="single" w:color="auto" w:sz="4" w:space="0"/>
              <w:right w:val="single" w:color="auto" w:sz="4" w:space="0"/>
            </w:tcBorders>
            <w:noWrap/>
            <w:vAlign w:val="center"/>
          </w:tcPr>
          <w:p w14:paraId="5B22A3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nil"/>
              <w:left w:val="nil"/>
              <w:bottom w:val="single" w:color="auto" w:sz="4" w:space="0"/>
              <w:right w:val="single" w:color="auto" w:sz="4" w:space="0"/>
            </w:tcBorders>
            <w:noWrap/>
            <w:vAlign w:val="center"/>
          </w:tcPr>
          <w:p w14:paraId="0F23E7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nil"/>
              <w:left w:val="nil"/>
              <w:bottom w:val="single" w:color="auto" w:sz="4" w:space="0"/>
              <w:right w:val="single" w:color="auto" w:sz="4" w:space="0"/>
            </w:tcBorders>
            <w:shd w:val="clear" w:color="auto" w:fill="auto"/>
            <w:vAlign w:val="center"/>
          </w:tcPr>
          <w:p w14:paraId="52F0BB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5830D456">
        <w:tblPrEx>
          <w:tblCellMar>
            <w:top w:w="0" w:type="dxa"/>
            <w:left w:w="108" w:type="dxa"/>
            <w:bottom w:w="0" w:type="dxa"/>
            <w:right w:w="108" w:type="dxa"/>
          </w:tblCellMar>
        </w:tblPrEx>
        <w:trPr>
          <w:trHeight w:val="285" w:hRule="atLeast"/>
          <w:jc w:val="center"/>
        </w:trPr>
        <w:tc>
          <w:tcPr>
            <w:tcW w:w="949" w:type="dxa"/>
            <w:vMerge w:val="continue"/>
            <w:tcBorders>
              <w:top w:val="nil"/>
              <w:left w:val="single" w:color="auto" w:sz="4" w:space="0"/>
              <w:bottom w:val="single" w:color="000000" w:sz="4" w:space="0"/>
              <w:right w:val="single" w:color="auto" w:sz="4" w:space="0"/>
            </w:tcBorders>
            <w:vAlign w:val="center"/>
          </w:tcPr>
          <w:p w14:paraId="38271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noWrap/>
            <w:vAlign w:val="center"/>
          </w:tcPr>
          <w:p w14:paraId="2FFED0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6.常住人口城镇化率(%)</w:t>
            </w:r>
          </w:p>
        </w:tc>
        <w:tc>
          <w:tcPr>
            <w:tcW w:w="1261" w:type="dxa"/>
            <w:tcBorders>
              <w:top w:val="nil"/>
              <w:left w:val="nil"/>
              <w:bottom w:val="single" w:color="auto" w:sz="4" w:space="0"/>
              <w:right w:val="single" w:color="auto" w:sz="4" w:space="0"/>
            </w:tcBorders>
            <w:noWrap/>
            <w:vAlign w:val="center"/>
          </w:tcPr>
          <w:p w14:paraId="10F454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nil"/>
              <w:left w:val="nil"/>
              <w:bottom w:val="single" w:color="auto" w:sz="4" w:space="0"/>
              <w:right w:val="single" w:color="auto" w:sz="4" w:space="0"/>
            </w:tcBorders>
            <w:noWrap/>
            <w:vAlign w:val="center"/>
          </w:tcPr>
          <w:p w14:paraId="7233FC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54.36</w:t>
            </w:r>
          </w:p>
        </w:tc>
        <w:tc>
          <w:tcPr>
            <w:tcW w:w="1147" w:type="dxa"/>
            <w:tcBorders>
              <w:top w:val="nil"/>
              <w:left w:val="nil"/>
              <w:bottom w:val="single" w:color="auto" w:sz="4" w:space="0"/>
              <w:right w:val="single" w:color="auto" w:sz="4" w:space="0"/>
            </w:tcBorders>
            <w:noWrap/>
            <w:vAlign w:val="center"/>
          </w:tcPr>
          <w:p w14:paraId="23F413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nil"/>
              <w:left w:val="nil"/>
              <w:bottom w:val="single" w:color="auto" w:sz="4" w:space="0"/>
              <w:right w:val="single" w:color="auto" w:sz="4" w:space="0"/>
            </w:tcBorders>
            <w:shd w:val="clear" w:color="auto" w:fill="auto"/>
            <w:vAlign w:val="center"/>
          </w:tcPr>
          <w:p w14:paraId="3C9016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预期性</w:t>
            </w:r>
          </w:p>
        </w:tc>
      </w:tr>
      <w:tr w14:paraId="51504BA0">
        <w:tblPrEx>
          <w:tblCellMar>
            <w:top w:w="0" w:type="dxa"/>
            <w:left w:w="108" w:type="dxa"/>
            <w:bottom w:w="0" w:type="dxa"/>
            <w:right w:w="108" w:type="dxa"/>
          </w:tblCellMar>
        </w:tblPrEx>
        <w:trPr>
          <w:trHeight w:val="330" w:hRule="atLeast"/>
          <w:jc w:val="center"/>
        </w:trPr>
        <w:tc>
          <w:tcPr>
            <w:tcW w:w="949" w:type="dxa"/>
            <w:vMerge w:val="restart"/>
            <w:tcBorders>
              <w:top w:val="single" w:color="auto" w:sz="4" w:space="0"/>
              <w:left w:val="single" w:color="auto" w:sz="4" w:space="0"/>
              <w:right w:val="single" w:color="auto" w:sz="4" w:space="0"/>
            </w:tcBorders>
            <w:vAlign w:val="center"/>
          </w:tcPr>
          <w:p w14:paraId="5A5993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创新驱动</w:t>
            </w:r>
          </w:p>
          <w:p w14:paraId="61A202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（3个）</w:t>
            </w:r>
          </w:p>
        </w:tc>
        <w:tc>
          <w:tcPr>
            <w:tcW w:w="2839" w:type="dxa"/>
            <w:tcBorders>
              <w:top w:val="single" w:color="auto" w:sz="4" w:space="0"/>
              <w:left w:val="nil"/>
              <w:bottom w:val="single" w:color="auto" w:sz="4" w:space="0"/>
              <w:right w:val="single" w:color="000000" w:sz="4" w:space="0"/>
            </w:tcBorders>
            <w:vAlign w:val="center"/>
          </w:tcPr>
          <w:p w14:paraId="5D04F4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7.与东盟进出口总额增长(%)</w:t>
            </w:r>
          </w:p>
        </w:tc>
        <w:tc>
          <w:tcPr>
            <w:tcW w:w="1261" w:type="dxa"/>
            <w:tcBorders>
              <w:top w:val="single" w:color="auto" w:sz="4" w:space="0"/>
              <w:left w:val="nil"/>
              <w:bottom w:val="single" w:color="auto" w:sz="4" w:space="0"/>
              <w:right w:val="single" w:color="auto" w:sz="4" w:space="0"/>
            </w:tcBorders>
            <w:noWrap/>
            <w:vAlign w:val="center"/>
          </w:tcPr>
          <w:p w14:paraId="465332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39E1EE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5BE5C2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159B8E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22F994DE">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30D67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76901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8.社会物流总费用占地区生产总值比重(%)</w:t>
            </w:r>
          </w:p>
        </w:tc>
        <w:tc>
          <w:tcPr>
            <w:tcW w:w="1261" w:type="dxa"/>
            <w:tcBorders>
              <w:top w:val="single" w:color="auto" w:sz="4" w:space="0"/>
              <w:left w:val="nil"/>
              <w:bottom w:val="single" w:color="auto" w:sz="4" w:space="0"/>
              <w:right w:val="single" w:color="auto" w:sz="4" w:space="0"/>
            </w:tcBorders>
            <w:noWrap/>
            <w:vAlign w:val="center"/>
          </w:tcPr>
          <w:p w14:paraId="3CEC37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200" w:type="dxa"/>
            <w:tcBorders>
              <w:top w:val="single" w:color="auto" w:sz="4" w:space="0"/>
              <w:left w:val="nil"/>
              <w:bottom w:val="single" w:color="auto" w:sz="4" w:space="0"/>
              <w:right w:val="single" w:color="auto" w:sz="4" w:space="0"/>
            </w:tcBorders>
            <w:noWrap/>
            <w:vAlign w:val="center"/>
          </w:tcPr>
          <w:p w14:paraId="3F3649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低于全市</w:t>
            </w:r>
          </w:p>
          <w:p w14:paraId="2C7A7F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平均水平</w:t>
            </w:r>
          </w:p>
        </w:tc>
        <w:tc>
          <w:tcPr>
            <w:tcW w:w="1147" w:type="dxa"/>
            <w:tcBorders>
              <w:top w:val="single" w:color="auto" w:sz="4" w:space="0"/>
              <w:left w:val="nil"/>
              <w:bottom w:val="single" w:color="auto" w:sz="4" w:space="0"/>
              <w:right w:val="single" w:color="auto" w:sz="4" w:space="0"/>
            </w:tcBorders>
            <w:noWrap/>
            <w:vAlign w:val="center"/>
          </w:tcPr>
          <w:p w14:paraId="3BC0AA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6F3F3C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78B74C7C">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bottom w:val="single" w:color="000000" w:sz="4" w:space="0"/>
              <w:right w:val="single" w:color="auto" w:sz="4" w:space="0"/>
            </w:tcBorders>
            <w:vAlign w:val="center"/>
          </w:tcPr>
          <w:p w14:paraId="118F1F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455BE6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9.跨境人民币结算量(亿元)</w:t>
            </w:r>
          </w:p>
        </w:tc>
        <w:tc>
          <w:tcPr>
            <w:tcW w:w="1261" w:type="dxa"/>
            <w:tcBorders>
              <w:top w:val="single" w:color="auto" w:sz="4" w:space="0"/>
              <w:left w:val="nil"/>
              <w:bottom w:val="single" w:color="auto" w:sz="4" w:space="0"/>
              <w:right w:val="single" w:color="auto" w:sz="4" w:space="0"/>
            </w:tcBorders>
            <w:noWrap/>
            <w:vAlign w:val="center"/>
          </w:tcPr>
          <w:p w14:paraId="526C38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5F44E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7BD8EA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2CF73E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35EAE35F">
        <w:tblPrEx>
          <w:tblCellMar>
            <w:top w:w="0" w:type="dxa"/>
            <w:left w:w="108" w:type="dxa"/>
            <w:bottom w:w="0" w:type="dxa"/>
            <w:right w:w="108" w:type="dxa"/>
          </w:tblCellMar>
        </w:tblPrEx>
        <w:trPr>
          <w:trHeight w:val="330" w:hRule="atLeast"/>
          <w:jc w:val="center"/>
        </w:trPr>
        <w:tc>
          <w:tcPr>
            <w:tcW w:w="949" w:type="dxa"/>
            <w:vMerge w:val="restart"/>
            <w:tcBorders>
              <w:top w:val="single" w:color="auto" w:sz="4" w:space="0"/>
              <w:left w:val="single" w:color="auto" w:sz="4" w:space="0"/>
              <w:right w:val="single" w:color="auto" w:sz="4" w:space="0"/>
            </w:tcBorders>
            <w:vAlign w:val="center"/>
          </w:tcPr>
          <w:p w14:paraId="2C792A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民生福祉</w:t>
            </w:r>
          </w:p>
          <w:p w14:paraId="3C4954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（7 个）</w:t>
            </w:r>
          </w:p>
        </w:tc>
        <w:tc>
          <w:tcPr>
            <w:tcW w:w="2839" w:type="dxa"/>
            <w:tcBorders>
              <w:top w:val="single" w:color="auto" w:sz="4" w:space="0"/>
              <w:left w:val="nil"/>
              <w:bottom w:val="single" w:color="auto" w:sz="4" w:space="0"/>
              <w:right w:val="single" w:color="000000" w:sz="4" w:space="0"/>
            </w:tcBorders>
            <w:vAlign w:val="center"/>
          </w:tcPr>
          <w:p w14:paraId="2FDB31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10.全社会研发经费投入增长(%)</w:t>
            </w:r>
          </w:p>
        </w:tc>
        <w:tc>
          <w:tcPr>
            <w:tcW w:w="1261" w:type="dxa"/>
            <w:tcBorders>
              <w:top w:val="single" w:color="auto" w:sz="4" w:space="0"/>
              <w:left w:val="nil"/>
              <w:bottom w:val="single" w:color="auto" w:sz="4" w:space="0"/>
              <w:right w:val="single" w:color="auto" w:sz="4" w:space="0"/>
            </w:tcBorders>
            <w:noWrap/>
            <w:vAlign w:val="center"/>
          </w:tcPr>
          <w:p w14:paraId="33AA86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73A33E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4754D4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318EB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17EC3558">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4B8FAA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4EB3D4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11.每万人高价值发明专利拥有量</w:t>
            </w:r>
          </w:p>
          <w:p w14:paraId="4E4CFD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(件)</w:t>
            </w:r>
          </w:p>
        </w:tc>
        <w:tc>
          <w:tcPr>
            <w:tcW w:w="1261" w:type="dxa"/>
            <w:tcBorders>
              <w:top w:val="single" w:color="auto" w:sz="4" w:space="0"/>
              <w:left w:val="nil"/>
              <w:bottom w:val="single" w:color="auto" w:sz="4" w:space="0"/>
              <w:right w:val="single" w:color="auto" w:sz="4" w:space="0"/>
            </w:tcBorders>
            <w:noWrap/>
            <w:vAlign w:val="center"/>
          </w:tcPr>
          <w:p w14:paraId="74F480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640448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4.77</w:t>
            </w:r>
          </w:p>
        </w:tc>
        <w:tc>
          <w:tcPr>
            <w:tcW w:w="1147" w:type="dxa"/>
            <w:tcBorders>
              <w:top w:val="single" w:color="auto" w:sz="4" w:space="0"/>
              <w:left w:val="nil"/>
              <w:bottom w:val="single" w:color="auto" w:sz="4" w:space="0"/>
              <w:right w:val="single" w:color="auto" w:sz="4" w:space="0"/>
            </w:tcBorders>
            <w:noWrap/>
            <w:vAlign w:val="center"/>
          </w:tcPr>
          <w:p w14:paraId="329AE8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[2]</w:t>
            </w:r>
          </w:p>
        </w:tc>
        <w:tc>
          <w:tcPr>
            <w:tcW w:w="953" w:type="dxa"/>
            <w:tcBorders>
              <w:top w:val="single" w:color="auto" w:sz="4" w:space="0"/>
              <w:left w:val="nil"/>
              <w:bottom w:val="single" w:color="auto" w:sz="4" w:space="0"/>
              <w:right w:val="single" w:color="auto" w:sz="4" w:space="0"/>
            </w:tcBorders>
            <w:shd w:val="clear" w:color="auto" w:fill="auto"/>
            <w:vAlign w:val="center"/>
          </w:tcPr>
          <w:p w14:paraId="0263CE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2A31F0DC">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2694DE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1C7967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12.数字经济核心产业增加值占地</w:t>
            </w:r>
          </w:p>
          <w:p w14:paraId="316A22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区生产总值比重(%)</w:t>
            </w:r>
          </w:p>
        </w:tc>
        <w:tc>
          <w:tcPr>
            <w:tcW w:w="1261" w:type="dxa"/>
            <w:tcBorders>
              <w:top w:val="single" w:color="auto" w:sz="4" w:space="0"/>
              <w:left w:val="nil"/>
              <w:bottom w:val="single" w:color="auto" w:sz="4" w:space="0"/>
              <w:right w:val="single" w:color="auto" w:sz="4" w:space="0"/>
            </w:tcBorders>
            <w:noWrap/>
            <w:vAlign w:val="center"/>
          </w:tcPr>
          <w:p w14:paraId="7D07C3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2DE796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00BBB3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287852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260F15F1">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2030EF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19C55C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 xml:space="preserve">13.城镇调查失业率(%) </w:t>
            </w:r>
          </w:p>
        </w:tc>
        <w:tc>
          <w:tcPr>
            <w:tcW w:w="1261" w:type="dxa"/>
            <w:tcBorders>
              <w:top w:val="single" w:color="auto" w:sz="4" w:space="0"/>
              <w:left w:val="nil"/>
              <w:bottom w:val="single" w:color="auto" w:sz="4" w:space="0"/>
              <w:right w:val="single" w:color="auto" w:sz="4" w:space="0"/>
            </w:tcBorders>
            <w:noWrap/>
            <w:vAlign w:val="center"/>
          </w:tcPr>
          <w:p w14:paraId="45D934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62A082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25350B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24D0BA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430B6E37">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51AFC5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79569A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14.居民人均可支配收入增长(%)</w:t>
            </w:r>
          </w:p>
        </w:tc>
        <w:tc>
          <w:tcPr>
            <w:tcW w:w="1261" w:type="dxa"/>
            <w:tcBorders>
              <w:top w:val="single" w:color="auto" w:sz="4" w:space="0"/>
              <w:left w:val="nil"/>
              <w:bottom w:val="single" w:color="auto" w:sz="4" w:space="0"/>
              <w:right w:val="single" w:color="auto" w:sz="4" w:space="0"/>
            </w:tcBorders>
            <w:noWrap/>
            <w:vAlign w:val="center"/>
          </w:tcPr>
          <w:p w14:paraId="3C4504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156024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1102B3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与地区生产总值增长同步</w:t>
            </w:r>
          </w:p>
        </w:tc>
        <w:tc>
          <w:tcPr>
            <w:tcW w:w="953" w:type="dxa"/>
            <w:tcBorders>
              <w:top w:val="single" w:color="auto" w:sz="4" w:space="0"/>
              <w:left w:val="nil"/>
              <w:bottom w:val="single" w:color="auto" w:sz="4" w:space="0"/>
              <w:right w:val="single" w:color="auto" w:sz="4" w:space="0"/>
            </w:tcBorders>
            <w:shd w:val="clear" w:color="auto" w:fill="auto"/>
            <w:vAlign w:val="center"/>
          </w:tcPr>
          <w:p w14:paraId="04DA25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0BF60374">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145829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664E9C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15.劳动年龄人口平均受教育年限</w:t>
            </w:r>
          </w:p>
          <w:p w14:paraId="4E611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(年)</w:t>
            </w:r>
          </w:p>
        </w:tc>
        <w:tc>
          <w:tcPr>
            <w:tcW w:w="1261" w:type="dxa"/>
            <w:tcBorders>
              <w:top w:val="single" w:color="auto" w:sz="4" w:space="0"/>
              <w:left w:val="nil"/>
              <w:bottom w:val="single" w:color="auto" w:sz="4" w:space="0"/>
              <w:right w:val="single" w:color="auto" w:sz="4" w:space="0"/>
            </w:tcBorders>
            <w:noWrap/>
            <w:vAlign w:val="center"/>
          </w:tcPr>
          <w:p w14:paraId="307C40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017E4F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53518E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4DB5C2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7A903808">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36368F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69690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16.每千人口拥有医护人员数</w:t>
            </w:r>
          </w:p>
          <w:p w14:paraId="44217E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职业医师数（人）</w:t>
            </w:r>
          </w:p>
          <w:p w14:paraId="39B208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注册护士数（人）</w:t>
            </w:r>
          </w:p>
        </w:tc>
        <w:tc>
          <w:tcPr>
            <w:tcW w:w="1261" w:type="dxa"/>
            <w:tcBorders>
              <w:top w:val="single" w:color="auto" w:sz="4" w:space="0"/>
              <w:left w:val="nil"/>
              <w:bottom w:val="single" w:color="auto" w:sz="4" w:space="0"/>
              <w:right w:val="single" w:color="auto" w:sz="4" w:space="0"/>
            </w:tcBorders>
            <w:noWrap/>
            <w:vAlign w:val="center"/>
          </w:tcPr>
          <w:p w14:paraId="77E4EE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68B029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257D94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3E6A01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58634428">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4BFE54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761BD6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17.养老机构护理型床位占比(%)</w:t>
            </w:r>
          </w:p>
        </w:tc>
        <w:tc>
          <w:tcPr>
            <w:tcW w:w="1261" w:type="dxa"/>
            <w:tcBorders>
              <w:top w:val="single" w:color="auto" w:sz="4" w:space="0"/>
              <w:left w:val="nil"/>
              <w:bottom w:val="single" w:color="auto" w:sz="4" w:space="0"/>
              <w:right w:val="single" w:color="auto" w:sz="4" w:space="0"/>
            </w:tcBorders>
            <w:noWrap/>
            <w:vAlign w:val="center"/>
          </w:tcPr>
          <w:p w14:paraId="45EE80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290146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3FF804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3FB8E3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34540F5A">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562207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2C16FF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18.1—3岁婴幼儿入托率(%)</w:t>
            </w:r>
          </w:p>
        </w:tc>
        <w:tc>
          <w:tcPr>
            <w:tcW w:w="1261" w:type="dxa"/>
            <w:tcBorders>
              <w:top w:val="single" w:color="auto" w:sz="4" w:space="0"/>
              <w:left w:val="nil"/>
              <w:bottom w:val="single" w:color="auto" w:sz="4" w:space="0"/>
              <w:right w:val="single" w:color="auto" w:sz="4" w:space="0"/>
            </w:tcBorders>
            <w:noWrap/>
            <w:vAlign w:val="center"/>
          </w:tcPr>
          <w:p w14:paraId="049DBC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200" w:type="dxa"/>
            <w:tcBorders>
              <w:top w:val="single" w:color="auto" w:sz="4" w:space="0"/>
              <w:left w:val="nil"/>
              <w:bottom w:val="single" w:color="auto" w:sz="4" w:space="0"/>
              <w:right w:val="single" w:color="auto" w:sz="4" w:space="0"/>
            </w:tcBorders>
            <w:noWrap/>
            <w:vAlign w:val="center"/>
          </w:tcPr>
          <w:p w14:paraId="7B8329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35DBAA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0BA754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2AA12AE7">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bottom w:val="single" w:color="000000" w:sz="4" w:space="0"/>
              <w:right w:val="single" w:color="auto" w:sz="4" w:space="0"/>
            </w:tcBorders>
            <w:vAlign w:val="center"/>
          </w:tcPr>
          <w:p w14:paraId="2766D6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76794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19.人均预期寿命（岁）</w:t>
            </w:r>
          </w:p>
        </w:tc>
        <w:tc>
          <w:tcPr>
            <w:tcW w:w="1261" w:type="dxa"/>
            <w:tcBorders>
              <w:top w:val="single" w:color="auto" w:sz="4" w:space="0"/>
              <w:left w:val="nil"/>
              <w:bottom w:val="single" w:color="auto" w:sz="4" w:space="0"/>
              <w:right w:val="single" w:color="auto" w:sz="4" w:space="0"/>
            </w:tcBorders>
            <w:noWrap/>
            <w:vAlign w:val="center"/>
          </w:tcPr>
          <w:p w14:paraId="577E32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1A11A5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80.5</w:t>
            </w:r>
          </w:p>
        </w:tc>
        <w:tc>
          <w:tcPr>
            <w:tcW w:w="1147" w:type="dxa"/>
            <w:tcBorders>
              <w:top w:val="single" w:color="auto" w:sz="4" w:space="0"/>
              <w:left w:val="nil"/>
              <w:bottom w:val="single" w:color="auto" w:sz="4" w:space="0"/>
              <w:right w:val="single" w:color="auto" w:sz="4" w:space="0"/>
            </w:tcBorders>
            <w:noWrap/>
            <w:vAlign w:val="center"/>
          </w:tcPr>
          <w:p w14:paraId="530FAE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稳定在80.5以上</w:t>
            </w:r>
          </w:p>
        </w:tc>
        <w:tc>
          <w:tcPr>
            <w:tcW w:w="953" w:type="dxa"/>
            <w:tcBorders>
              <w:top w:val="single" w:color="auto" w:sz="4" w:space="0"/>
              <w:left w:val="nil"/>
              <w:bottom w:val="single" w:color="auto" w:sz="4" w:space="0"/>
              <w:right w:val="single" w:color="auto" w:sz="4" w:space="0"/>
            </w:tcBorders>
            <w:shd w:val="clear" w:color="auto" w:fill="auto"/>
            <w:vAlign w:val="center"/>
          </w:tcPr>
          <w:p w14:paraId="66C4FD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021EF403">
        <w:tblPrEx>
          <w:tblCellMar>
            <w:top w:w="0" w:type="dxa"/>
            <w:left w:w="108" w:type="dxa"/>
            <w:bottom w:w="0" w:type="dxa"/>
            <w:right w:w="108" w:type="dxa"/>
          </w:tblCellMar>
        </w:tblPrEx>
        <w:trPr>
          <w:trHeight w:val="330" w:hRule="atLeast"/>
          <w:jc w:val="center"/>
        </w:trPr>
        <w:tc>
          <w:tcPr>
            <w:tcW w:w="949" w:type="dxa"/>
            <w:vMerge w:val="restart"/>
            <w:tcBorders>
              <w:top w:val="single" w:color="auto" w:sz="4" w:space="0"/>
              <w:left w:val="single" w:color="auto" w:sz="4" w:space="0"/>
              <w:right w:val="single" w:color="auto" w:sz="4" w:space="0"/>
            </w:tcBorders>
            <w:vAlign w:val="center"/>
          </w:tcPr>
          <w:p w14:paraId="0A446D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绿色低碳</w:t>
            </w:r>
          </w:p>
          <w:p w14:paraId="722ADE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（6个）</w:t>
            </w:r>
          </w:p>
        </w:tc>
        <w:tc>
          <w:tcPr>
            <w:tcW w:w="2839" w:type="dxa"/>
            <w:tcBorders>
              <w:top w:val="single" w:color="auto" w:sz="4" w:space="0"/>
              <w:left w:val="nil"/>
              <w:bottom w:val="single" w:color="auto" w:sz="4" w:space="0"/>
              <w:right w:val="single" w:color="000000" w:sz="4" w:space="0"/>
            </w:tcBorders>
            <w:vAlign w:val="center"/>
          </w:tcPr>
          <w:p w14:paraId="11D788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20.单位地区生产总值二氧化碳排</w:t>
            </w:r>
          </w:p>
          <w:p w14:paraId="44E472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放量降低(%)</w:t>
            </w:r>
          </w:p>
        </w:tc>
        <w:tc>
          <w:tcPr>
            <w:tcW w:w="1261" w:type="dxa"/>
            <w:tcBorders>
              <w:top w:val="single" w:color="auto" w:sz="4" w:space="0"/>
              <w:left w:val="nil"/>
              <w:bottom w:val="single" w:color="auto" w:sz="4" w:space="0"/>
              <w:right w:val="single" w:color="auto" w:sz="4" w:space="0"/>
            </w:tcBorders>
            <w:noWrap/>
            <w:vAlign w:val="center"/>
          </w:tcPr>
          <w:p w14:paraId="028185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国家测算方法未定</w:t>
            </w:r>
          </w:p>
        </w:tc>
        <w:tc>
          <w:tcPr>
            <w:tcW w:w="1200" w:type="dxa"/>
            <w:tcBorders>
              <w:top w:val="single" w:color="auto" w:sz="4" w:space="0"/>
              <w:left w:val="nil"/>
              <w:bottom w:val="single" w:color="auto" w:sz="4" w:space="0"/>
              <w:right w:val="single" w:color="auto" w:sz="4" w:space="0"/>
            </w:tcBorders>
            <w:noWrap/>
            <w:vAlign w:val="center"/>
          </w:tcPr>
          <w:p w14:paraId="104505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以市级下达数据为准</w:t>
            </w:r>
          </w:p>
        </w:tc>
        <w:tc>
          <w:tcPr>
            <w:tcW w:w="1147" w:type="dxa"/>
            <w:tcBorders>
              <w:top w:val="single" w:color="auto" w:sz="4" w:space="0"/>
              <w:left w:val="nil"/>
              <w:bottom w:val="single" w:color="auto" w:sz="4" w:space="0"/>
              <w:right w:val="single" w:color="auto" w:sz="4" w:space="0"/>
            </w:tcBorders>
            <w:noWrap/>
            <w:vAlign w:val="center"/>
          </w:tcPr>
          <w:p w14:paraId="58FB22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3DE37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21C6711F">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26906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72F61C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21.非化石能源占能源消费总量比</w:t>
            </w:r>
          </w:p>
          <w:p w14:paraId="64E985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重(%)</w:t>
            </w:r>
          </w:p>
        </w:tc>
        <w:tc>
          <w:tcPr>
            <w:tcW w:w="1261" w:type="dxa"/>
            <w:tcBorders>
              <w:top w:val="single" w:color="auto" w:sz="4" w:space="0"/>
              <w:left w:val="nil"/>
              <w:bottom w:val="single" w:color="auto" w:sz="4" w:space="0"/>
              <w:right w:val="single" w:color="auto" w:sz="4" w:space="0"/>
            </w:tcBorders>
            <w:noWrap/>
            <w:vAlign w:val="center"/>
          </w:tcPr>
          <w:p w14:paraId="1D1572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rPr>
              <w:t>-</w:t>
            </w:r>
          </w:p>
        </w:tc>
        <w:tc>
          <w:tcPr>
            <w:tcW w:w="1200" w:type="dxa"/>
            <w:tcBorders>
              <w:top w:val="single" w:color="auto" w:sz="4" w:space="0"/>
              <w:left w:val="nil"/>
              <w:bottom w:val="single" w:color="auto" w:sz="4" w:space="0"/>
              <w:right w:val="single" w:color="auto" w:sz="4" w:space="0"/>
            </w:tcBorders>
            <w:noWrap/>
            <w:vAlign w:val="center"/>
          </w:tcPr>
          <w:p w14:paraId="4BF18D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以市级下达数据为准</w:t>
            </w:r>
          </w:p>
        </w:tc>
        <w:tc>
          <w:tcPr>
            <w:tcW w:w="1147" w:type="dxa"/>
            <w:tcBorders>
              <w:top w:val="single" w:color="auto" w:sz="4" w:space="0"/>
              <w:left w:val="nil"/>
              <w:bottom w:val="single" w:color="auto" w:sz="4" w:space="0"/>
              <w:right w:val="single" w:color="auto" w:sz="4" w:space="0"/>
            </w:tcBorders>
            <w:noWrap/>
            <w:vAlign w:val="center"/>
          </w:tcPr>
          <w:p w14:paraId="059493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3F830B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4FDF905D">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076AFA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03D86D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22.地级以上城市细颗粒物（PM2.5）浓度(微克/立方米)</w:t>
            </w:r>
          </w:p>
        </w:tc>
        <w:tc>
          <w:tcPr>
            <w:tcW w:w="1261" w:type="dxa"/>
            <w:tcBorders>
              <w:top w:val="single" w:color="auto" w:sz="4" w:space="0"/>
              <w:left w:val="nil"/>
              <w:bottom w:val="single" w:color="auto" w:sz="4" w:space="0"/>
              <w:right w:val="single" w:color="auto" w:sz="4" w:space="0"/>
            </w:tcBorders>
            <w:noWrap/>
            <w:vAlign w:val="center"/>
          </w:tcPr>
          <w:p w14:paraId="2EFE6E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国家测算方法未定</w:t>
            </w:r>
          </w:p>
        </w:tc>
        <w:tc>
          <w:tcPr>
            <w:tcW w:w="1200" w:type="dxa"/>
            <w:tcBorders>
              <w:top w:val="single" w:color="auto" w:sz="4" w:space="0"/>
              <w:left w:val="nil"/>
              <w:bottom w:val="single" w:color="auto" w:sz="4" w:space="0"/>
              <w:right w:val="single" w:color="auto" w:sz="4" w:space="0"/>
            </w:tcBorders>
            <w:noWrap/>
            <w:vAlign w:val="center"/>
          </w:tcPr>
          <w:p w14:paraId="52A630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以市级下达数据为准</w:t>
            </w:r>
          </w:p>
        </w:tc>
        <w:tc>
          <w:tcPr>
            <w:tcW w:w="1147" w:type="dxa"/>
            <w:tcBorders>
              <w:top w:val="single" w:color="auto" w:sz="4" w:space="0"/>
              <w:left w:val="nil"/>
              <w:bottom w:val="single" w:color="auto" w:sz="4" w:space="0"/>
              <w:right w:val="single" w:color="auto" w:sz="4" w:space="0"/>
            </w:tcBorders>
            <w:noWrap/>
            <w:vAlign w:val="center"/>
          </w:tcPr>
          <w:p w14:paraId="70F270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606E8E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62963A9E">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4E7DB7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13E95A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23. 优良水体比例(%)</w:t>
            </w:r>
          </w:p>
        </w:tc>
        <w:tc>
          <w:tcPr>
            <w:tcW w:w="1261" w:type="dxa"/>
            <w:tcBorders>
              <w:top w:val="single" w:color="auto" w:sz="4" w:space="0"/>
              <w:left w:val="nil"/>
              <w:bottom w:val="single" w:color="auto" w:sz="4" w:space="0"/>
              <w:right w:val="single" w:color="auto" w:sz="4" w:space="0"/>
            </w:tcBorders>
            <w:noWrap/>
            <w:vAlign w:val="center"/>
          </w:tcPr>
          <w:p w14:paraId="38D701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国家测算方法未定</w:t>
            </w:r>
          </w:p>
        </w:tc>
        <w:tc>
          <w:tcPr>
            <w:tcW w:w="1200" w:type="dxa"/>
            <w:tcBorders>
              <w:top w:val="single" w:color="auto" w:sz="4" w:space="0"/>
              <w:left w:val="nil"/>
              <w:bottom w:val="single" w:color="auto" w:sz="4" w:space="0"/>
              <w:right w:val="single" w:color="auto" w:sz="4" w:space="0"/>
            </w:tcBorders>
            <w:noWrap/>
            <w:vAlign w:val="center"/>
          </w:tcPr>
          <w:p w14:paraId="26B2F3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以市级下达数据为准</w:t>
            </w:r>
          </w:p>
        </w:tc>
        <w:tc>
          <w:tcPr>
            <w:tcW w:w="1147" w:type="dxa"/>
            <w:tcBorders>
              <w:top w:val="single" w:color="auto" w:sz="4" w:space="0"/>
              <w:left w:val="nil"/>
              <w:bottom w:val="single" w:color="auto" w:sz="4" w:space="0"/>
              <w:right w:val="single" w:color="auto" w:sz="4" w:space="0"/>
            </w:tcBorders>
            <w:noWrap/>
            <w:vAlign w:val="center"/>
          </w:tcPr>
          <w:p w14:paraId="20E23F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w:t>
            </w:r>
          </w:p>
        </w:tc>
        <w:tc>
          <w:tcPr>
            <w:tcW w:w="953" w:type="dxa"/>
            <w:tcBorders>
              <w:top w:val="single" w:color="auto" w:sz="4" w:space="0"/>
              <w:left w:val="nil"/>
              <w:bottom w:val="single" w:color="auto" w:sz="4" w:space="0"/>
              <w:right w:val="single" w:color="auto" w:sz="4" w:space="0"/>
            </w:tcBorders>
            <w:shd w:val="clear" w:color="auto" w:fill="auto"/>
            <w:vAlign w:val="center"/>
          </w:tcPr>
          <w:p w14:paraId="66F161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6D09AD2F">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right w:val="single" w:color="auto" w:sz="4" w:space="0"/>
            </w:tcBorders>
            <w:vAlign w:val="center"/>
          </w:tcPr>
          <w:p w14:paraId="3A7D24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267F59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24.森林覆盖率(%)</w:t>
            </w:r>
          </w:p>
        </w:tc>
        <w:tc>
          <w:tcPr>
            <w:tcW w:w="1261" w:type="dxa"/>
            <w:tcBorders>
              <w:top w:val="single" w:color="auto" w:sz="4" w:space="0"/>
              <w:left w:val="nil"/>
              <w:bottom w:val="single" w:color="auto" w:sz="4" w:space="0"/>
              <w:right w:val="single" w:color="auto" w:sz="4" w:space="0"/>
            </w:tcBorders>
            <w:noWrap/>
            <w:vAlign w:val="center"/>
          </w:tcPr>
          <w:p w14:paraId="39C96E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48020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以市级下达数据为准</w:t>
            </w:r>
          </w:p>
        </w:tc>
        <w:tc>
          <w:tcPr>
            <w:tcW w:w="1147" w:type="dxa"/>
            <w:tcBorders>
              <w:top w:val="single" w:color="auto" w:sz="4" w:space="0"/>
              <w:left w:val="nil"/>
              <w:bottom w:val="single" w:color="auto" w:sz="4" w:space="0"/>
              <w:right w:val="single" w:color="auto" w:sz="4" w:space="0"/>
            </w:tcBorders>
            <w:noWrap/>
            <w:vAlign w:val="center"/>
          </w:tcPr>
          <w:p w14:paraId="08EAC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r>
              <w:rPr>
                <w:rFonts w:hint="eastAsia" w:asciiTheme="minorEastAsia" w:hAnsiTheme="minorEastAsia" w:eastAsiaTheme="minorEastAsia" w:cstheme="minorEastAsia"/>
                <w:color w:val="auto"/>
                <w:kern w:val="0"/>
                <w:sz w:val="18"/>
                <w:szCs w:val="18"/>
                <w:highlight w:val="none"/>
                <w:lang w:val="en-US" w:eastAsia="zh-CN"/>
              </w:rPr>
              <w:t>保持稳定</w:t>
            </w:r>
          </w:p>
        </w:tc>
        <w:tc>
          <w:tcPr>
            <w:tcW w:w="953" w:type="dxa"/>
            <w:tcBorders>
              <w:top w:val="single" w:color="auto" w:sz="4" w:space="0"/>
              <w:left w:val="nil"/>
              <w:bottom w:val="single" w:color="auto" w:sz="4" w:space="0"/>
              <w:right w:val="single" w:color="auto" w:sz="4" w:space="0"/>
            </w:tcBorders>
            <w:shd w:val="clear" w:color="auto" w:fill="auto"/>
            <w:vAlign w:val="center"/>
          </w:tcPr>
          <w:p w14:paraId="63968B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7773AD36">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bottom w:val="single" w:color="000000" w:sz="4" w:space="0"/>
              <w:right w:val="single" w:color="auto" w:sz="4" w:space="0"/>
            </w:tcBorders>
            <w:vAlign w:val="center"/>
          </w:tcPr>
          <w:p w14:paraId="2AC670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1E2D68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25.单位地区生产总值建设用地面</w:t>
            </w:r>
          </w:p>
          <w:p w14:paraId="2399EA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积(公顷/亿元)</w:t>
            </w:r>
          </w:p>
        </w:tc>
        <w:tc>
          <w:tcPr>
            <w:tcW w:w="1261" w:type="dxa"/>
            <w:tcBorders>
              <w:top w:val="single" w:color="auto" w:sz="4" w:space="0"/>
              <w:left w:val="nil"/>
              <w:bottom w:val="single" w:color="auto" w:sz="4" w:space="0"/>
              <w:right w:val="single" w:color="auto" w:sz="4" w:space="0"/>
            </w:tcBorders>
            <w:noWrap/>
            <w:vAlign w:val="center"/>
          </w:tcPr>
          <w:p w14:paraId="225A7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4DD25B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23FDF7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6A6C96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预期性</w:t>
            </w:r>
          </w:p>
        </w:tc>
      </w:tr>
      <w:tr w14:paraId="6AA6205D">
        <w:tblPrEx>
          <w:tblCellMar>
            <w:top w:w="0" w:type="dxa"/>
            <w:left w:w="108" w:type="dxa"/>
            <w:bottom w:w="0" w:type="dxa"/>
            <w:right w:w="108" w:type="dxa"/>
          </w:tblCellMar>
        </w:tblPrEx>
        <w:trPr>
          <w:trHeight w:val="330" w:hRule="atLeast"/>
          <w:jc w:val="center"/>
        </w:trPr>
        <w:tc>
          <w:tcPr>
            <w:tcW w:w="949" w:type="dxa"/>
            <w:vMerge w:val="restart"/>
            <w:tcBorders>
              <w:top w:val="single" w:color="auto" w:sz="4" w:space="0"/>
              <w:left w:val="single" w:color="auto" w:sz="4" w:space="0"/>
              <w:right w:val="single" w:color="auto" w:sz="4" w:space="0"/>
            </w:tcBorders>
            <w:vAlign w:val="center"/>
          </w:tcPr>
          <w:p w14:paraId="0DC51D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安全保障</w:t>
            </w:r>
          </w:p>
          <w:p w14:paraId="09C29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r>
              <w:rPr>
                <w:rFonts w:hint="eastAsia" w:asciiTheme="minorEastAsia" w:hAnsiTheme="minorEastAsia" w:eastAsiaTheme="minorEastAsia" w:cstheme="minorEastAsia"/>
                <w:b/>
                <w:bCs/>
                <w:color w:val="auto"/>
                <w:kern w:val="0"/>
                <w:sz w:val="18"/>
                <w:szCs w:val="18"/>
                <w:highlight w:val="none"/>
              </w:rPr>
              <w:t>（2个）</w:t>
            </w:r>
          </w:p>
        </w:tc>
        <w:tc>
          <w:tcPr>
            <w:tcW w:w="2839" w:type="dxa"/>
            <w:tcBorders>
              <w:top w:val="single" w:color="auto" w:sz="4" w:space="0"/>
              <w:left w:val="nil"/>
              <w:bottom w:val="single" w:color="auto" w:sz="4" w:space="0"/>
              <w:right w:val="single" w:color="000000" w:sz="4" w:space="0"/>
            </w:tcBorders>
            <w:vAlign w:val="center"/>
          </w:tcPr>
          <w:p w14:paraId="45776E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26.粮食综合生产能力(万吨)</w:t>
            </w:r>
          </w:p>
        </w:tc>
        <w:tc>
          <w:tcPr>
            <w:tcW w:w="1261" w:type="dxa"/>
            <w:tcBorders>
              <w:top w:val="single" w:color="auto" w:sz="4" w:space="0"/>
              <w:left w:val="nil"/>
              <w:bottom w:val="single" w:color="auto" w:sz="4" w:space="0"/>
              <w:right w:val="single" w:color="auto" w:sz="4" w:space="0"/>
            </w:tcBorders>
            <w:noWrap/>
            <w:vAlign w:val="center"/>
          </w:tcPr>
          <w:p w14:paraId="2F5D3F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0028A4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5A0F42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5CA17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7AF85CE4">
        <w:tblPrEx>
          <w:tblCellMar>
            <w:top w:w="0" w:type="dxa"/>
            <w:left w:w="108" w:type="dxa"/>
            <w:bottom w:w="0" w:type="dxa"/>
            <w:right w:w="108" w:type="dxa"/>
          </w:tblCellMar>
        </w:tblPrEx>
        <w:trPr>
          <w:trHeight w:val="330" w:hRule="atLeast"/>
          <w:jc w:val="center"/>
        </w:trPr>
        <w:tc>
          <w:tcPr>
            <w:tcW w:w="949" w:type="dxa"/>
            <w:vMerge w:val="continue"/>
            <w:tcBorders>
              <w:left w:val="single" w:color="auto" w:sz="4" w:space="0"/>
              <w:bottom w:val="single" w:color="000000" w:sz="4" w:space="0"/>
              <w:right w:val="single" w:color="auto" w:sz="4" w:space="0"/>
            </w:tcBorders>
            <w:vAlign w:val="center"/>
          </w:tcPr>
          <w:p w14:paraId="422FFF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kern w:val="0"/>
                <w:sz w:val="18"/>
                <w:szCs w:val="18"/>
                <w:highlight w:val="none"/>
              </w:rPr>
            </w:pPr>
          </w:p>
        </w:tc>
        <w:tc>
          <w:tcPr>
            <w:tcW w:w="2839" w:type="dxa"/>
            <w:tcBorders>
              <w:top w:val="single" w:color="auto" w:sz="4" w:space="0"/>
              <w:left w:val="nil"/>
              <w:bottom w:val="single" w:color="auto" w:sz="4" w:space="0"/>
              <w:right w:val="single" w:color="000000" w:sz="4" w:space="0"/>
            </w:tcBorders>
            <w:vAlign w:val="center"/>
          </w:tcPr>
          <w:p w14:paraId="2A5A63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27.能源综合生产能力(万吨标准煤)</w:t>
            </w:r>
          </w:p>
        </w:tc>
        <w:tc>
          <w:tcPr>
            <w:tcW w:w="1261" w:type="dxa"/>
            <w:tcBorders>
              <w:top w:val="single" w:color="auto" w:sz="4" w:space="0"/>
              <w:left w:val="nil"/>
              <w:bottom w:val="single" w:color="auto" w:sz="4" w:space="0"/>
              <w:right w:val="single" w:color="auto" w:sz="4" w:space="0"/>
            </w:tcBorders>
            <w:noWrap/>
            <w:vAlign w:val="center"/>
          </w:tcPr>
          <w:p w14:paraId="30E5EE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p>
        </w:tc>
        <w:tc>
          <w:tcPr>
            <w:tcW w:w="1200" w:type="dxa"/>
            <w:tcBorders>
              <w:top w:val="single" w:color="auto" w:sz="4" w:space="0"/>
              <w:left w:val="nil"/>
              <w:bottom w:val="single" w:color="auto" w:sz="4" w:space="0"/>
              <w:right w:val="single" w:color="auto" w:sz="4" w:space="0"/>
            </w:tcBorders>
            <w:noWrap/>
            <w:vAlign w:val="center"/>
          </w:tcPr>
          <w:p w14:paraId="11CC2D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1147" w:type="dxa"/>
            <w:tcBorders>
              <w:top w:val="single" w:color="auto" w:sz="4" w:space="0"/>
              <w:left w:val="nil"/>
              <w:bottom w:val="single" w:color="auto" w:sz="4" w:space="0"/>
              <w:right w:val="single" w:color="auto" w:sz="4" w:space="0"/>
            </w:tcBorders>
            <w:noWrap/>
            <w:vAlign w:val="center"/>
          </w:tcPr>
          <w:p w14:paraId="55824C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lang w:val="en-US" w:eastAsia="zh-CN"/>
              </w:rPr>
            </w:pPr>
          </w:p>
        </w:tc>
        <w:tc>
          <w:tcPr>
            <w:tcW w:w="953" w:type="dxa"/>
            <w:tcBorders>
              <w:top w:val="single" w:color="auto" w:sz="4" w:space="0"/>
              <w:left w:val="nil"/>
              <w:bottom w:val="single" w:color="auto" w:sz="4" w:space="0"/>
              <w:right w:val="single" w:color="auto" w:sz="4" w:space="0"/>
            </w:tcBorders>
            <w:shd w:val="clear" w:color="auto" w:fill="auto"/>
            <w:vAlign w:val="center"/>
          </w:tcPr>
          <w:p w14:paraId="47480A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约束性</w:t>
            </w:r>
          </w:p>
        </w:tc>
      </w:tr>
      <w:tr w14:paraId="27917553">
        <w:tblPrEx>
          <w:tblCellMar>
            <w:top w:w="0" w:type="dxa"/>
            <w:left w:w="108" w:type="dxa"/>
            <w:bottom w:w="0" w:type="dxa"/>
            <w:right w:w="108" w:type="dxa"/>
          </w:tblCellMar>
        </w:tblPrEx>
        <w:trPr>
          <w:trHeight w:val="330" w:hRule="atLeast"/>
          <w:jc w:val="center"/>
        </w:trPr>
        <w:tc>
          <w:tcPr>
            <w:tcW w:w="8349" w:type="dxa"/>
            <w:gridSpan w:val="6"/>
            <w:tcBorders>
              <w:top w:val="single" w:color="auto" w:sz="4" w:space="0"/>
              <w:left w:val="single" w:color="auto" w:sz="4" w:space="0"/>
              <w:bottom w:val="single" w:color="000000" w:sz="4" w:space="0"/>
              <w:right w:val="single" w:color="auto" w:sz="4" w:space="0"/>
            </w:tcBorders>
            <w:vAlign w:val="center"/>
          </w:tcPr>
          <w:p w14:paraId="5AA568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both"/>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注：（1）地区生产总值、全员劳动生产率增长按不变价计算。</w:t>
            </w:r>
          </w:p>
          <w:p w14:paraId="528A3A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both"/>
              <w:textAlignment w:val="auto"/>
              <w:rPr>
                <w:rFonts w:hint="eastAsia" w:asciiTheme="minorEastAsia" w:hAnsiTheme="minorEastAsia" w:eastAsiaTheme="minorEastAsia" w:cstheme="minorEastAsia"/>
                <w:color w:val="auto"/>
                <w:kern w:val="0"/>
                <w:sz w:val="18"/>
                <w:szCs w:val="18"/>
                <w:highlight w:val="none"/>
              </w:rPr>
            </w:pPr>
            <w:r>
              <w:rPr>
                <w:rFonts w:hint="eastAsia" w:asciiTheme="minorEastAsia" w:hAnsiTheme="minorEastAsia" w:eastAsiaTheme="minorEastAsia" w:cstheme="minorEastAsia"/>
                <w:color w:val="auto"/>
                <w:kern w:val="0"/>
                <w:sz w:val="18"/>
                <w:szCs w:val="18"/>
                <w:highlight w:val="none"/>
              </w:rPr>
              <w:t>（2）[ ]为五年累计数。</w:t>
            </w:r>
          </w:p>
        </w:tc>
      </w:tr>
    </w:tbl>
    <w:p w14:paraId="5BCD1693">
      <w:pPr>
        <w:rPr>
          <w:color w:val="auto"/>
          <w:highlight w:val="none"/>
        </w:rPr>
      </w:pPr>
    </w:p>
    <w:p w14:paraId="7DD9349F">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45" w:name="_Toc31172"/>
      <w:bookmarkStart w:id="46" w:name="_Toc16765"/>
      <w:bookmarkStart w:id="47" w:name="_Toc29135"/>
      <w:bookmarkStart w:id="48" w:name="_Toc19870"/>
      <w:bookmarkStart w:id="49" w:name="_Toc13175"/>
      <w:bookmarkStart w:id="50" w:name="_Toc11476"/>
      <w:r>
        <w:rPr>
          <w:rFonts w:hint="eastAsia" w:cs="Times New Roman"/>
          <w:color w:val="auto"/>
          <w:sz w:val="32"/>
          <w:szCs w:val="32"/>
          <w:highlight w:val="none"/>
          <w:lang w:val="en-US" w:eastAsia="zh-CN"/>
        </w:rPr>
        <w:t>第四节 发展定位</w:t>
      </w:r>
      <w:bookmarkEnd w:id="45"/>
      <w:bookmarkEnd w:id="46"/>
      <w:bookmarkEnd w:id="47"/>
      <w:bookmarkEnd w:id="48"/>
      <w:bookmarkEnd w:id="49"/>
      <w:bookmarkEnd w:id="50"/>
    </w:p>
    <w:p w14:paraId="1A8EA547">
      <w:pPr>
        <w:rPr>
          <w:rFonts w:hint="eastAsia" w:ascii="Times New Roman" w:hAnsi="Times New Roman" w:eastAsia="仿宋_GB2312"/>
          <w:color w:val="auto"/>
          <w:highlight w:val="none"/>
          <w:u w:val="none" w:color="auto"/>
          <w:lang w:val="en-US" w:eastAsia="zh-CN"/>
        </w:rPr>
      </w:pPr>
      <w:r>
        <w:rPr>
          <w:rFonts w:hint="eastAsia" w:ascii="Times New Roman" w:hAnsi="Times New Roman" w:eastAsia="仿宋_GB2312"/>
          <w:color w:val="auto"/>
          <w:highlight w:val="none"/>
          <w:u w:val="none" w:color="auto"/>
          <w:lang w:val="en-US" w:eastAsia="zh-CN"/>
        </w:rPr>
        <w:t>宾阳县依托区位交通</w:t>
      </w:r>
      <w:r>
        <w:rPr>
          <w:rFonts w:hint="eastAsia" w:eastAsia="仿宋_GB2312"/>
          <w:color w:val="auto"/>
          <w:highlight w:val="none"/>
          <w:u w:val="none" w:color="auto"/>
          <w:lang w:val="en-US" w:eastAsia="zh-CN"/>
        </w:rPr>
        <w:t>禀赋</w:t>
      </w:r>
      <w:r>
        <w:rPr>
          <w:rFonts w:hint="eastAsia" w:ascii="Times New Roman" w:hAnsi="Times New Roman" w:eastAsia="仿宋_GB2312"/>
          <w:color w:val="auto"/>
          <w:highlight w:val="none"/>
          <w:u w:val="none" w:color="auto"/>
          <w:lang w:val="en-US" w:eastAsia="zh-CN"/>
        </w:rPr>
        <w:t>，立足高铁交汇枢纽优势，努力打造成为</w:t>
      </w:r>
      <w:r>
        <w:rPr>
          <w:rFonts w:ascii="仿宋_GB2312" w:hAnsi="仿宋_GB2312" w:eastAsia="仿宋_GB2312" w:cs="仿宋_GB2312"/>
          <w:color w:val="auto"/>
          <w:sz w:val="31"/>
          <w:szCs w:val="31"/>
          <w:highlight w:val="none"/>
          <w:u w:val="none" w:color="auto"/>
        </w:rPr>
        <w:t>南宁</w:t>
      </w:r>
      <w:r>
        <w:rPr>
          <w:rFonts w:hint="eastAsia" w:ascii="仿宋_GB2312" w:hAnsi="仿宋_GB2312" w:eastAsia="仿宋_GB2312" w:cs="仿宋_GB2312"/>
          <w:color w:val="auto"/>
          <w:sz w:val="31"/>
          <w:szCs w:val="31"/>
          <w:highlight w:val="none"/>
          <w:u w:val="none" w:color="auto"/>
          <w:lang w:eastAsia="zh-CN"/>
        </w:rPr>
        <w:t>市</w:t>
      </w:r>
      <w:r>
        <w:rPr>
          <w:rFonts w:ascii="仿宋_GB2312" w:hAnsi="仿宋_GB2312" w:eastAsia="仿宋_GB2312" w:cs="仿宋_GB2312"/>
          <w:color w:val="auto"/>
          <w:sz w:val="31"/>
          <w:szCs w:val="31"/>
          <w:highlight w:val="none"/>
          <w:u w:val="none" w:color="auto"/>
        </w:rPr>
        <w:t>在全方位发展格局中</w:t>
      </w:r>
      <w:r>
        <w:rPr>
          <w:rFonts w:hint="eastAsia" w:eastAsia="仿宋_GB2312"/>
          <w:color w:val="auto"/>
          <w:highlight w:val="none"/>
          <w:u w:val="none" w:color="auto"/>
          <w:lang w:val="en-US" w:eastAsia="zh-CN"/>
        </w:rPr>
        <w:t>西部陆海新通道重要节点，面向粤港澳大湾区和东盟国家，主动融入平陆运河经济带发展，锚定建设现代化人民中等城市，加快打造</w:t>
      </w:r>
      <w:r>
        <w:rPr>
          <w:rFonts w:hint="eastAsia" w:ascii="Times New Roman" w:hAnsi="Times New Roman" w:eastAsia="仿宋_GB2312"/>
          <w:color w:val="auto"/>
          <w:highlight w:val="none"/>
          <w:u w:val="none" w:color="auto"/>
          <w:lang w:val="en-US" w:eastAsia="zh-CN"/>
        </w:rPr>
        <w:t>北部湾城市群重要的先进制造业基地、南向北联东融</w:t>
      </w:r>
      <w:r>
        <w:rPr>
          <w:rFonts w:hint="eastAsia" w:eastAsia="仿宋_GB2312"/>
          <w:color w:val="auto"/>
          <w:highlight w:val="none"/>
          <w:u w:val="none" w:color="auto"/>
          <w:lang w:val="en-US" w:eastAsia="zh-CN"/>
        </w:rPr>
        <w:t>的</w:t>
      </w:r>
      <w:r>
        <w:rPr>
          <w:rFonts w:hint="eastAsia" w:ascii="Times New Roman" w:hAnsi="Times New Roman" w:eastAsia="仿宋_GB2312"/>
          <w:color w:val="auto"/>
          <w:highlight w:val="none"/>
          <w:u w:val="none" w:color="auto"/>
          <w:lang w:val="en-US" w:eastAsia="zh-CN"/>
        </w:rPr>
        <w:t>现代商贸物流中心、全区示范标杆的现代特色农业基地、富有浓郁民俗特色的魅力宜居中等城市</w:t>
      </w:r>
      <w:r>
        <w:rPr>
          <w:rFonts w:hint="eastAsia" w:eastAsia="仿宋_GB2312"/>
          <w:color w:val="auto"/>
          <w:highlight w:val="none"/>
          <w:u w:val="none" w:color="auto"/>
          <w:lang w:val="en-US" w:eastAsia="zh-CN"/>
        </w:rPr>
        <w:t>。</w:t>
      </w:r>
    </w:p>
    <w:p w14:paraId="4014D917">
      <w:pPr>
        <w:bidi w:val="0"/>
        <w:ind w:firstLine="1044"/>
        <w:rPr>
          <w:rFonts w:hint="eastAsia" w:ascii="Times New Roman" w:hAnsi="Times New Roman" w:eastAsia="仿宋_GB2312"/>
          <w:color w:val="auto"/>
          <w:highlight w:val="none"/>
          <w:u w:val="none" w:color="auto"/>
          <w:lang w:val="en-US" w:eastAsia="zh-CN"/>
        </w:rPr>
      </w:pPr>
      <w:r>
        <w:rPr>
          <w:rFonts w:hint="eastAsia" w:eastAsia="仿宋_GB2312"/>
          <w:color w:val="auto"/>
          <w:highlight w:val="none"/>
          <w:u w:val="none" w:color="auto"/>
          <w:lang w:val="en-US" w:eastAsia="zh-CN"/>
        </w:rPr>
        <w:t>——</w:t>
      </w:r>
      <w:r>
        <w:rPr>
          <w:rFonts w:hint="eastAsia" w:ascii="Times New Roman" w:hAnsi="Times New Roman" w:eastAsia="仿宋_GB2312"/>
          <w:color w:val="auto"/>
          <w:highlight w:val="none"/>
          <w:u w:val="none" w:color="auto"/>
          <w:lang w:val="en-US" w:eastAsia="zh-CN"/>
        </w:rPr>
        <w:t>北部湾城市群重要的先进制造业基地。依托现有的工业基础和区位优势，加力推进工业增产增效，构建以“</w:t>
      </w:r>
      <w:r>
        <w:rPr>
          <w:rFonts w:hint="eastAsia" w:eastAsia="仿宋_GB2312"/>
          <w:color w:val="auto"/>
          <w:highlight w:val="none"/>
          <w:u w:val="none" w:color="auto"/>
          <w:lang w:val="en-US" w:eastAsia="zh-CN"/>
        </w:rPr>
        <w:t>电子信息产业</w:t>
      </w:r>
      <w:r>
        <w:rPr>
          <w:rFonts w:hint="eastAsia" w:ascii="Times New Roman" w:hAnsi="Times New Roman" w:eastAsia="仿宋_GB2312"/>
          <w:color w:val="auto"/>
          <w:highlight w:val="none"/>
          <w:u w:val="none" w:color="auto"/>
          <w:lang w:val="en-US" w:eastAsia="zh-CN"/>
        </w:rPr>
        <w:t>及先进制造业、新能源新材料”为引领的现代化产业体系。重点开展无人机整机、焊接机器人等新技术新产品大规模应用</w:t>
      </w:r>
      <w:r>
        <w:rPr>
          <w:rFonts w:hint="eastAsia" w:eastAsia="仿宋_GB2312"/>
          <w:color w:val="auto"/>
          <w:highlight w:val="none"/>
          <w:u w:val="none" w:color="auto"/>
          <w:lang w:val="en-US" w:eastAsia="zh-CN"/>
        </w:rPr>
        <w:t>场景建设</w:t>
      </w:r>
      <w:r>
        <w:rPr>
          <w:rFonts w:hint="eastAsia" w:ascii="Times New Roman" w:hAnsi="Times New Roman" w:eastAsia="仿宋_GB2312"/>
          <w:color w:val="auto"/>
          <w:highlight w:val="none"/>
          <w:u w:val="none" w:color="auto"/>
          <w:lang w:val="en-US" w:eastAsia="zh-CN"/>
        </w:rPr>
        <w:t>，深化人工智能赋能传统制造业升级，同步围绕</w:t>
      </w:r>
      <w:r>
        <w:rPr>
          <w:rFonts w:hint="eastAsia" w:eastAsia="仿宋_GB2312"/>
          <w:color w:val="auto"/>
          <w:highlight w:val="none"/>
          <w:u w:val="none" w:color="auto"/>
          <w:lang w:val="en-US" w:eastAsia="zh-CN"/>
        </w:rPr>
        <w:t>电子信息制造、</w:t>
      </w:r>
      <w:r>
        <w:rPr>
          <w:rFonts w:hint="eastAsia" w:ascii="Times New Roman" w:hAnsi="Times New Roman" w:eastAsia="仿宋_GB2312"/>
          <w:color w:val="auto"/>
          <w:highlight w:val="none"/>
          <w:u w:val="none" w:color="auto"/>
          <w:lang w:val="en-US" w:eastAsia="zh-CN"/>
        </w:rPr>
        <w:t>农</w:t>
      </w:r>
      <w:r>
        <w:rPr>
          <w:rFonts w:hint="eastAsia" w:eastAsia="仿宋_GB2312"/>
          <w:color w:val="auto"/>
          <w:highlight w:val="none"/>
          <w:u w:val="none" w:color="auto"/>
          <w:lang w:val="en-US" w:eastAsia="zh-CN"/>
        </w:rPr>
        <w:t>副</w:t>
      </w:r>
      <w:r>
        <w:rPr>
          <w:rFonts w:hint="eastAsia" w:ascii="Times New Roman" w:hAnsi="Times New Roman" w:eastAsia="仿宋_GB2312"/>
          <w:color w:val="auto"/>
          <w:highlight w:val="none"/>
          <w:u w:val="none" w:color="auto"/>
          <w:lang w:val="en-US" w:eastAsia="zh-CN"/>
        </w:rPr>
        <w:t>食品加工、现代生活用纸、中医药、林木加工及绿色家居、新型建材等重点产业，全力以赴强链补链延链，促进产业集群、企业集聚、项目集成，打造南宁都市圈具有技术引领力的先进制造业集群。</w:t>
      </w:r>
    </w:p>
    <w:p w14:paraId="3A6F8F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u w:val="none" w:color="auto"/>
          <w:lang w:eastAsia="zh-CN"/>
        </w:rPr>
      </w:pPr>
      <w:r>
        <w:rPr>
          <w:rFonts w:hint="eastAsia" w:ascii="仿宋_GB2312" w:hAnsi="仿宋_GB2312" w:eastAsia="仿宋_GB2312" w:cs="仿宋_GB2312"/>
          <w:b w:val="0"/>
          <w:bCs w:val="0"/>
          <w:color w:val="auto"/>
          <w:sz w:val="32"/>
          <w:szCs w:val="32"/>
          <w:highlight w:val="none"/>
          <w:u w:val="none" w:color="auto"/>
          <w:lang w:eastAsia="zh-CN"/>
        </w:rPr>
        <w:t>——南向北联东融的现代商贸物流中心。充分发挥</w:t>
      </w:r>
      <w:r>
        <w:rPr>
          <w:rFonts w:hint="eastAsia" w:ascii="仿宋_GB2312" w:hAnsi="仿宋_GB2312" w:eastAsia="仿宋_GB2312" w:cs="仿宋_GB2312"/>
          <w:b w:val="0"/>
          <w:bCs w:val="0"/>
          <w:color w:val="auto"/>
          <w:sz w:val="32"/>
          <w:szCs w:val="32"/>
          <w:highlight w:val="none"/>
          <w:u w:val="none" w:color="auto"/>
          <w:lang w:val="en-US" w:eastAsia="zh-CN"/>
        </w:rPr>
        <w:t>宾阳县</w:t>
      </w:r>
      <w:r>
        <w:rPr>
          <w:rFonts w:hint="eastAsia" w:ascii="仿宋_GB2312" w:hAnsi="仿宋_GB2312" w:eastAsia="仿宋_GB2312" w:cs="仿宋_GB2312"/>
          <w:b w:val="0"/>
          <w:bCs w:val="0"/>
          <w:color w:val="auto"/>
          <w:sz w:val="32"/>
          <w:szCs w:val="32"/>
          <w:highlight w:val="none"/>
          <w:u w:val="none" w:color="auto"/>
          <w:lang w:eastAsia="zh-CN"/>
        </w:rPr>
        <w:t>交通枢纽优势，依托湘桂铁路、南广高</w:t>
      </w:r>
      <w:r>
        <w:rPr>
          <w:rFonts w:hint="eastAsia" w:ascii="仿宋_GB2312" w:hAnsi="仿宋_GB2312" w:eastAsia="仿宋_GB2312" w:cs="仿宋_GB2312"/>
          <w:b w:val="0"/>
          <w:bCs w:val="0"/>
          <w:color w:val="auto"/>
          <w:sz w:val="32"/>
          <w:szCs w:val="32"/>
          <w:highlight w:val="none"/>
          <w:u w:val="none" w:color="auto"/>
          <w:lang w:val="en-US" w:eastAsia="zh-CN"/>
        </w:rPr>
        <w:t>铁</w:t>
      </w:r>
      <w:r>
        <w:rPr>
          <w:rFonts w:hint="eastAsia" w:ascii="仿宋_GB2312" w:hAnsi="仿宋_GB2312" w:eastAsia="仿宋_GB2312" w:cs="仿宋_GB2312"/>
          <w:b w:val="0"/>
          <w:bCs w:val="0"/>
          <w:color w:val="auto"/>
          <w:sz w:val="32"/>
          <w:szCs w:val="32"/>
          <w:highlight w:val="none"/>
          <w:u w:val="none" w:color="auto"/>
          <w:lang w:eastAsia="zh-CN"/>
        </w:rPr>
        <w:t>等交通干线，构建高效便捷的现代物流网络。通过建设大型物流园区和智慧物流平台，推动商贸物流业与制造业、农业、人力资源服务业等深度融合，提升区域分拨效率，加快降低全社会物流成本。同</w:t>
      </w:r>
      <w:r>
        <w:rPr>
          <w:rFonts w:hint="eastAsia" w:ascii="仿宋_GB2312" w:hAnsi="仿宋_GB2312" w:eastAsia="仿宋_GB2312" w:cs="仿宋_GB2312"/>
          <w:b w:val="0"/>
          <w:bCs w:val="0"/>
          <w:color w:val="auto"/>
          <w:sz w:val="32"/>
          <w:szCs w:val="32"/>
          <w:highlight w:val="none"/>
          <w:u w:val="none" w:color="auto"/>
          <w:lang w:val="en-US" w:eastAsia="zh-CN"/>
        </w:rPr>
        <w:t>步融入国内国际双循环，</w:t>
      </w:r>
      <w:r>
        <w:rPr>
          <w:rFonts w:hint="eastAsia" w:ascii="仿宋_GB2312" w:hAnsi="仿宋_GB2312" w:eastAsia="仿宋_GB2312" w:cs="仿宋_GB2312"/>
          <w:b w:val="0"/>
          <w:bCs w:val="0"/>
          <w:color w:val="auto"/>
          <w:sz w:val="32"/>
          <w:szCs w:val="32"/>
          <w:highlight w:val="none"/>
          <w:u w:val="none" w:color="auto"/>
          <w:lang w:eastAsia="zh-CN"/>
        </w:rPr>
        <w:t>发展</w:t>
      </w:r>
      <w:r>
        <w:rPr>
          <w:rFonts w:hint="eastAsia" w:ascii="仿宋_GB2312" w:hAnsi="仿宋_GB2312" w:eastAsia="仿宋_GB2312" w:cs="仿宋_GB2312"/>
          <w:b w:val="0"/>
          <w:bCs w:val="0"/>
          <w:color w:val="auto"/>
          <w:sz w:val="32"/>
          <w:szCs w:val="32"/>
          <w:highlight w:val="none"/>
          <w:u w:val="none" w:color="auto"/>
          <w:lang w:val="en-US" w:eastAsia="zh-CN"/>
        </w:rPr>
        <w:t>跨境电商和内需市场</w:t>
      </w:r>
      <w:r>
        <w:rPr>
          <w:rFonts w:hint="eastAsia" w:ascii="仿宋_GB2312" w:hAnsi="仿宋_GB2312" w:eastAsia="仿宋_GB2312" w:cs="仿宋_GB2312"/>
          <w:b w:val="0"/>
          <w:bCs w:val="0"/>
          <w:color w:val="auto"/>
          <w:sz w:val="32"/>
          <w:szCs w:val="32"/>
          <w:highlight w:val="none"/>
          <w:u w:val="none" w:color="auto"/>
          <w:lang w:eastAsia="zh-CN"/>
        </w:rPr>
        <w:t>，打造服务南宁都市圈、辐射粤港澳大湾区的双循环商贸物流枢纽。</w:t>
      </w:r>
    </w:p>
    <w:p w14:paraId="08AFD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u w:val="none" w:color="auto"/>
          <w:lang w:eastAsia="zh-CN"/>
        </w:rPr>
      </w:pPr>
      <w:r>
        <w:rPr>
          <w:rFonts w:hint="eastAsia" w:ascii="仿宋_GB2312" w:hAnsi="仿宋_GB2312" w:eastAsia="仿宋_GB2312" w:cs="仿宋_GB2312"/>
          <w:b w:val="0"/>
          <w:bCs w:val="0"/>
          <w:color w:val="auto"/>
          <w:sz w:val="32"/>
          <w:szCs w:val="32"/>
          <w:highlight w:val="none"/>
          <w:u w:val="none" w:color="auto"/>
          <w:lang w:eastAsia="zh-CN"/>
        </w:rPr>
        <w:t>——全区示范标杆的现代特色农业基地。</w:t>
      </w:r>
      <w:r>
        <w:rPr>
          <w:rFonts w:hint="eastAsia" w:ascii="仿宋_GB2312" w:hAnsi="仿宋_GB2312" w:eastAsia="仿宋_GB2312" w:cs="仿宋_GB2312"/>
          <w:b w:val="0"/>
          <w:bCs w:val="0"/>
          <w:color w:val="auto"/>
          <w:sz w:val="32"/>
          <w:szCs w:val="32"/>
          <w:highlight w:val="none"/>
          <w:u w:val="none" w:color="auto"/>
          <w:lang w:val="en-US" w:eastAsia="zh-CN"/>
        </w:rPr>
        <w:t>立足宾阳县农业资源禀赋优势，以古辣香米产业为核心引擎，通过产业链延伸、短板补齐和关键环节强化，全面推进农业产业转型升级。</w:t>
      </w:r>
      <w:r>
        <w:rPr>
          <w:rFonts w:hint="eastAsia" w:ascii="仿宋_GB2312" w:hAnsi="仿宋_GB2312" w:eastAsia="仿宋_GB2312" w:cs="仿宋_GB2312"/>
          <w:b w:val="0"/>
          <w:bCs w:val="0"/>
          <w:color w:val="auto"/>
          <w:sz w:val="32"/>
          <w:szCs w:val="32"/>
          <w:highlight w:val="none"/>
          <w:u w:val="none" w:color="auto"/>
          <w:lang w:eastAsia="zh-CN"/>
        </w:rPr>
        <w:t>重点推进优质富硒</w:t>
      </w:r>
      <w:r>
        <w:rPr>
          <w:rFonts w:hint="eastAsia" w:ascii="仿宋_GB2312" w:hAnsi="仿宋_GB2312" w:eastAsia="仿宋_GB2312" w:cs="仿宋_GB2312"/>
          <w:b w:val="0"/>
          <w:bCs w:val="0"/>
          <w:color w:val="auto"/>
          <w:sz w:val="32"/>
          <w:szCs w:val="32"/>
          <w:highlight w:val="none"/>
          <w:u w:val="none" w:color="auto"/>
          <w:lang w:val="en-US" w:eastAsia="zh-CN"/>
        </w:rPr>
        <w:t>大</w:t>
      </w:r>
      <w:r>
        <w:rPr>
          <w:rFonts w:hint="eastAsia" w:ascii="仿宋_GB2312" w:hAnsi="仿宋_GB2312" w:eastAsia="仿宋_GB2312" w:cs="仿宋_GB2312"/>
          <w:b w:val="0"/>
          <w:bCs w:val="0"/>
          <w:color w:val="auto"/>
          <w:sz w:val="32"/>
          <w:szCs w:val="32"/>
          <w:highlight w:val="none"/>
          <w:u w:val="none" w:color="auto"/>
          <w:lang w:eastAsia="zh-CN"/>
        </w:rPr>
        <w:t>米、</w:t>
      </w:r>
      <w:r>
        <w:rPr>
          <w:rFonts w:hint="eastAsia" w:ascii="仿宋_GB2312" w:hAnsi="仿宋_GB2312" w:eastAsia="仿宋_GB2312" w:cs="仿宋_GB2312"/>
          <w:b w:val="0"/>
          <w:bCs w:val="0"/>
          <w:color w:val="auto"/>
          <w:sz w:val="32"/>
          <w:szCs w:val="32"/>
          <w:highlight w:val="none"/>
          <w:u w:val="none" w:color="auto"/>
          <w:lang w:val="en-US" w:eastAsia="zh-CN"/>
        </w:rPr>
        <w:t>生猪、家禽、禽蛋、肉鸽、中药材、夜香花、食用菌等特色农业产业集群，</w:t>
      </w:r>
      <w:r>
        <w:rPr>
          <w:rFonts w:hint="eastAsia" w:ascii="仿宋_GB2312" w:hAnsi="仿宋_GB2312" w:eastAsia="仿宋_GB2312" w:cs="仿宋_GB2312"/>
          <w:b w:val="0"/>
          <w:bCs w:val="0"/>
          <w:color w:val="auto"/>
          <w:sz w:val="32"/>
          <w:szCs w:val="32"/>
          <w:highlight w:val="none"/>
          <w:u w:val="none" w:color="auto"/>
          <w:lang w:eastAsia="zh-CN"/>
        </w:rPr>
        <w:t>推广现代农业技术，提升农业机械化、信息化</w:t>
      </w:r>
      <w:r>
        <w:rPr>
          <w:rFonts w:hint="eastAsia" w:ascii="仿宋_GB2312" w:hAnsi="仿宋_GB2312" w:eastAsia="仿宋_GB2312" w:cs="仿宋_GB2312"/>
          <w:b w:val="0"/>
          <w:bCs w:val="0"/>
          <w:color w:val="auto"/>
          <w:sz w:val="32"/>
          <w:szCs w:val="32"/>
          <w:highlight w:val="none"/>
          <w:u w:val="none" w:color="auto"/>
          <w:lang w:val="en-US" w:eastAsia="zh-CN"/>
        </w:rPr>
        <w:t>水平</w:t>
      </w:r>
      <w:r>
        <w:rPr>
          <w:rFonts w:hint="eastAsia" w:ascii="仿宋_GB2312" w:hAnsi="仿宋_GB2312" w:eastAsia="仿宋_GB2312" w:cs="仿宋_GB2312"/>
          <w:b w:val="0"/>
          <w:bCs w:val="0"/>
          <w:color w:val="auto"/>
          <w:sz w:val="32"/>
          <w:szCs w:val="32"/>
          <w:highlight w:val="none"/>
          <w:u w:val="none" w:color="auto"/>
          <w:lang w:eastAsia="zh-CN"/>
        </w:rPr>
        <w:t>，推动农业与旅游、文化等产业融合发展。同</w:t>
      </w:r>
      <w:r>
        <w:rPr>
          <w:rFonts w:hint="eastAsia" w:ascii="仿宋_GB2312" w:hAnsi="仿宋_GB2312" w:eastAsia="仿宋_GB2312" w:cs="仿宋_GB2312"/>
          <w:b w:val="0"/>
          <w:bCs w:val="0"/>
          <w:color w:val="auto"/>
          <w:sz w:val="32"/>
          <w:szCs w:val="32"/>
          <w:highlight w:val="none"/>
          <w:u w:val="none" w:color="auto"/>
          <w:lang w:val="en-US" w:eastAsia="zh-CN"/>
        </w:rPr>
        <w:t>步</w:t>
      </w:r>
      <w:r>
        <w:rPr>
          <w:rFonts w:hint="eastAsia" w:ascii="仿宋_GB2312" w:hAnsi="仿宋_GB2312" w:eastAsia="仿宋_GB2312" w:cs="仿宋_GB2312"/>
          <w:b w:val="0"/>
          <w:bCs w:val="0"/>
          <w:color w:val="auto"/>
          <w:sz w:val="32"/>
          <w:szCs w:val="32"/>
          <w:highlight w:val="none"/>
          <w:u w:val="none" w:color="auto"/>
          <w:lang w:eastAsia="zh-CN"/>
        </w:rPr>
        <w:t>培育农业龙头企业，</w:t>
      </w:r>
      <w:r>
        <w:rPr>
          <w:rFonts w:hint="eastAsia" w:ascii="仿宋_GB2312" w:hAnsi="仿宋_GB2312" w:eastAsia="仿宋_GB2312" w:cs="仿宋_GB2312"/>
          <w:b w:val="0"/>
          <w:bCs w:val="0"/>
          <w:color w:val="auto"/>
          <w:sz w:val="32"/>
          <w:szCs w:val="32"/>
          <w:highlight w:val="none"/>
          <w:u w:val="none" w:color="auto"/>
          <w:lang w:val="en-US" w:eastAsia="zh-CN"/>
        </w:rPr>
        <w:t>强化</w:t>
      </w:r>
      <w:r>
        <w:rPr>
          <w:rFonts w:hint="eastAsia" w:ascii="仿宋_GB2312" w:hAnsi="仿宋_GB2312" w:eastAsia="仿宋_GB2312" w:cs="仿宋_GB2312"/>
          <w:b w:val="0"/>
          <w:bCs w:val="0"/>
          <w:color w:val="auto"/>
          <w:sz w:val="32"/>
          <w:szCs w:val="32"/>
          <w:highlight w:val="none"/>
          <w:u w:val="none" w:color="auto"/>
          <w:lang w:eastAsia="zh-CN"/>
        </w:rPr>
        <w:t>特色农业品牌</w:t>
      </w:r>
      <w:r>
        <w:rPr>
          <w:rFonts w:hint="eastAsia" w:ascii="仿宋_GB2312" w:hAnsi="仿宋_GB2312" w:eastAsia="仿宋_GB2312" w:cs="仿宋_GB2312"/>
          <w:b w:val="0"/>
          <w:bCs w:val="0"/>
          <w:color w:val="auto"/>
          <w:sz w:val="32"/>
          <w:szCs w:val="32"/>
          <w:highlight w:val="none"/>
          <w:u w:val="none" w:color="auto"/>
          <w:lang w:val="en-US" w:eastAsia="zh-CN"/>
        </w:rPr>
        <w:t>建设</w:t>
      </w:r>
      <w:r>
        <w:rPr>
          <w:rFonts w:hint="eastAsia" w:ascii="仿宋_GB2312" w:hAnsi="仿宋_GB2312" w:eastAsia="仿宋_GB2312" w:cs="仿宋_GB2312"/>
          <w:b w:val="0"/>
          <w:bCs w:val="0"/>
          <w:color w:val="auto"/>
          <w:sz w:val="32"/>
          <w:szCs w:val="32"/>
          <w:highlight w:val="none"/>
          <w:u w:val="none" w:color="auto"/>
          <w:lang w:eastAsia="zh-CN"/>
        </w:rPr>
        <w:t>，提升农产品</w:t>
      </w:r>
      <w:r>
        <w:rPr>
          <w:rFonts w:hint="eastAsia" w:ascii="仿宋_GB2312" w:hAnsi="仿宋_GB2312" w:eastAsia="仿宋_GB2312" w:cs="仿宋_GB2312"/>
          <w:b w:val="0"/>
          <w:bCs w:val="0"/>
          <w:color w:val="auto"/>
          <w:sz w:val="32"/>
          <w:szCs w:val="32"/>
          <w:highlight w:val="none"/>
          <w:u w:val="none" w:color="auto"/>
          <w:lang w:val="en-US" w:eastAsia="zh-CN"/>
        </w:rPr>
        <w:t>加工</w:t>
      </w:r>
      <w:r>
        <w:rPr>
          <w:rFonts w:hint="eastAsia" w:ascii="仿宋_GB2312" w:hAnsi="仿宋_GB2312" w:eastAsia="仿宋_GB2312" w:cs="仿宋_GB2312"/>
          <w:b w:val="0"/>
          <w:bCs w:val="0"/>
          <w:color w:val="auto"/>
          <w:sz w:val="32"/>
          <w:szCs w:val="32"/>
          <w:highlight w:val="none"/>
          <w:u w:val="none" w:color="auto"/>
          <w:lang w:eastAsia="zh-CN"/>
        </w:rPr>
        <w:t>附加值，建设成为</w:t>
      </w:r>
      <w:r>
        <w:rPr>
          <w:rFonts w:hint="eastAsia" w:ascii="仿宋_GB2312" w:hAnsi="仿宋_GB2312" w:eastAsia="仿宋_GB2312" w:cs="仿宋_GB2312"/>
          <w:b w:val="0"/>
          <w:bCs w:val="0"/>
          <w:color w:val="auto"/>
          <w:sz w:val="32"/>
          <w:szCs w:val="32"/>
          <w:highlight w:val="none"/>
          <w:u w:val="none" w:color="auto"/>
          <w:lang w:val="en-US" w:eastAsia="zh-CN"/>
        </w:rPr>
        <w:t>全区</w:t>
      </w:r>
      <w:r>
        <w:rPr>
          <w:rFonts w:hint="eastAsia" w:ascii="仿宋_GB2312" w:hAnsi="仿宋_GB2312" w:eastAsia="仿宋_GB2312" w:cs="仿宋_GB2312"/>
          <w:b w:val="0"/>
          <w:bCs w:val="0"/>
          <w:color w:val="auto"/>
          <w:sz w:val="32"/>
          <w:szCs w:val="32"/>
          <w:highlight w:val="none"/>
          <w:u w:val="none" w:color="auto"/>
          <w:lang w:eastAsia="zh-CN"/>
        </w:rPr>
        <w:t>农业高质量发展的前沿新高地。</w:t>
      </w:r>
    </w:p>
    <w:p w14:paraId="1A42D372">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u w:val="none" w:color="auto"/>
          <w:lang w:eastAsia="zh-CN"/>
        </w:rPr>
        <w:t>——富有浓郁民俗特色的魅力宜居中等城市。依托独特的自然风光和深厚的文化底蕴，通过完善城市基础设施和公共服务，提升城市品质和宜居水平。注重生态环境保护，推动绿色发展，建设山水相融、文化浓郁的</w:t>
      </w:r>
      <w:r>
        <w:rPr>
          <w:rFonts w:hint="eastAsia" w:ascii="仿宋_GB2312" w:hAnsi="仿宋_GB2312" w:eastAsia="仿宋_GB2312" w:cs="仿宋_GB2312"/>
          <w:b w:val="0"/>
          <w:bCs w:val="0"/>
          <w:color w:val="auto"/>
          <w:sz w:val="32"/>
          <w:szCs w:val="32"/>
          <w:highlight w:val="none"/>
          <w:u w:val="none" w:color="auto"/>
          <w:lang w:val="en-US" w:eastAsia="zh-CN"/>
        </w:rPr>
        <w:t>生态</w:t>
      </w:r>
      <w:r>
        <w:rPr>
          <w:rFonts w:hint="eastAsia" w:ascii="仿宋_GB2312" w:hAnsi="仿宋_GB2312" w:eastAsia="仿宋_GB2312" w:cs="仿宋_GB2312"/>
          <w:b w:val="0"/>
          <w:bCs w:val="0"/>
          <w:color w:val="auto"/>
          <w:sz w:val="32"/>
          <w:szCs w:val="32"/>
          <w:highlight w:val="none"/>
          <w:u w:val="none" w:color="auto"/>
          <w:lang w:eastAsia="zh-CN"/>
        </w:rPr>
        <w:t>城市。通过</w:t>
      </w:r>
      <w:r>
        <w:rPr>
          <w:rFonts w:hint="eastAsia" w:ascii="仿宋_GB2312" w:hAnsi="仿宋_GB2312" w:eastAsia="仿宋_GB2312" w:cs="仿宋_GB2312"/>
          <w:b w:val="0"/>
          <w:bCs w:val="0"/>
          <w:color w:val="auto"/>
          <w:sz w:val="32"/>
          <w:szCs w:val="32"/>
          <w:highlight w:val="none"/>
          <w:u w:val="none" w:color="auto"/>
          <w:lang w:val="en-US" w:eastAsia="zh-CN"/>
        </w:rPr>
        <w:t>升级文旅小镇和人才社区建设，</w:t>
      </w:r>
      <w:r>
        <w:rPr>
          <w:rFonts w:hint="eastAsia" w:ascii="仿宋_GB2312" w:hAnsi="仿宋_GB2312" w:eastAsia="仿宋_GB2312" w:cs="仿宋_GB2312"/>
          <w:b w:val="0"/>
          <w:bCs w:val="0"/>
          <w:color w:val="auto"/>
          <w:sz w:val="32"/>
          <w:szCs w:val="32"/>
          <w:highlight w:val="none"/>
          <w:u w:val="none" w:color="auto"/>
          <w:lang w:eastAsia="zh-CN"/>
        </w:rPr>
        <w:t>增强</w:t>
      </w:r>
      <w:r>
        <w:rPr>
          <w:rFonts w:hint="eastAsia" w:ascii="仿宋_GB2312" w:hAnsi="仿宋_GB2312" w:eastAsia="仿宋_GB2312" w:cs="仿宋_GB2312"/>
          <w:b w:val="0"/>
          <w:bCs w:val="0"/>
          <w:color w:val="auto"/>
          <w:sz w:val="32"/>
          <w:szCs w:val="32"/>
          <w:highlight w:val="none"/>
          <w:u w:val="none" w:color="auto"/>
          <w:lang w:val="en-US" w:eastAsia="zh-CN"/>
        </w:rPr>
        <w:t>文旅吸引力与人才凝聚力</w:t>
      </w:r>
      <w:r>
        <w:rPr>
          <w:rFonts w:hint="eastAsia" w:ascii="仿宋_GB2312" w:hAnsi="仿宋_GB2312" w:eastAsia="仿宋_GB2312" w:cs="仿宋_GB2312"/>
          <w:b w:val="0"/>
          <w:bCs w:val="0"/>
          <w:color w:val="auto"/>
          <w:sz w:val="32"/>
          <w:szCs w:val="32"/>
          <w:highlight w:val="none"/>
          <w:u w:val="none" w:color="auto"/>
          <w:lang w:eastAsia="zh-CN"/>
        </w:rPr>
        <w:t>，将宾阳</w:t>
      </w:r>
      <w:r>
        <w:rPr>
          <w:rFonts w:hint="eastAsia" w:ascii="仿宋_GB2312" w:hAnsi="仿宋_GB2312" w:eastAsia="仿宋_GB2312" w:cs="仿宋_GB2312"/>
          <w:b w:val="0"/>
          <w:bCs w:val="0"/>
          <w:color w:val="auto"/>
          <w:sz w:val="32"/>
          <w:szCs w:val="32"/>
          <w:highlight w:val="none"/>
          <w:u w:val="none" w:color="auto"/>
          <w:lang w:val="en-US" w:eastAsia="zh-CN"/>
        </w:rPr>
        <w:t>县</w:t>
      </w:r>
      <w:r>
        <w:rPr>
          <w:rFonts w:hint="eastAsia" w:ascii="仿宋_GB2312" w:hAnsi="仿宋_GB2312" w:eastAsia="仿宋_GB2312" w:cs="仿宋_GB2312"/>
          <w:b w:val="0"/>
          <w:bCs w:val="0"/>
          <w:color w:val="auto"/>
          <w:sz w:val="32"/>
          <w:szCs w:val="32"/>
          <w:highlight w:val="none"/>
          <w:u w:val="none" w:color="auto"/>
          <w:lang w:eastAsia="zh-CN"/>
        </w:rPr>
        <w:t>建设成为具有浓郁民俗特色、宜居宜业宜游的人民城市。</w:t>
      </w:r>
    </w:p>
    <w:p w14:paraId="11C4E724">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sz w:val="32"/>
          <w:szCs w:val="32"/>
          <w:highlight w:val="none"/>
          <w:lang w:val="en-US" w:eastAsia="zh-CN"/>
        </w:rPr>
        <w:sectPr>
          <w:footerReference r:id="rId6" w:type="default"/>
          <w:pgSz w:w="11906" w:h="16838"/>
          <w:pgMar w:top="2098" w:right="1474" w:bottom="1984" w:left="1587" w:header="851" w:footer="992" w:gutter="0"/>
          <w:pgNumType w:fmt="numberInDash" w:start="1"/>
          <w:cols w:space="425" w:num="1"/>
          <w:docGrid w:type="lines" w:linePitch="312" w:charSpace="0"/>
        </w:sectPr>
      </w:pPr>
      <w:bookmarkStart w:id="51" w:name="_Toc14880"/>
      <w:bookmarkStart w:id="52" w:name="_Toc496"/>
      <w:bookmarkStart w:id="53" w:name="_Toc16728"/>
    </w:p>
    <w:p w14:paraId="58BA5DF7">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sz w:val="32"/>
          <w:szCs w:val="32"/>
          <w:highlight w:val="none"/>
          <w:lang w:val="en-US" w:eastAsia="zh-CN"/>
        </w:rPr>
      </w:pPr>
      <w:bookmarkStart w:id="54" w:name="_Toc15498"/>
      <w:bookmarkStart w:id="55" w:name="_Toc31067"/>
      <w:bookmarkStart w:id="56" w:name="_Toc17616"/>
      <w:bookmarkStart w:id="57" w:name="_Toc5017"/>
      <w:r>
        <w:rPr>
          <w:rFonts w:hint="eastAsia" w:cs="Times New Roman"/>
          <w:color w:val="auto"/>
          <w:sz w:val="32"/>
          <w:szCs w:val="32"/>
          <w:highlight w:val="none"/>
          <w:lang w:val="en-US" w:eastAsia="zh-CN"/>
        </w:rPr>
        <w:t xml:space="preserve">第三章 </w:t>
      </w:r>
      <w:r>
        <w:rPr>
          <w:rFonts w:hint="eastAsia" w:eastAsia="黑体" w:asciiTheme="minorAscii" w:hAnsiTheme="minorAscii"/>
          <w:b w:val="0"/>
          <w:bCs w:val="0"/>
          <w:color w:val="auto"/>
          <w:sz w:val="32"/>
          <w:szCs w:val="32"/>
          <w:highlight w:val="none"/>
          <w:lang w:val="en-US" w:eastAsia="zh-CN"/>
        </w:rPr>
        <w:t>建设现代化产业体系，巩固壮大实体经济根基</w:t>
      </w:r>
      <w:bookmarkEnd w:id="51"/>
      <w:bookmarkEnd w:id="52"/>
      <w:bookmarkEnd w:id="54"/>
      <w:bookmarkEnd w:id="55"/>
      <w:bookmarkEnd w:id="56"/>
      <w:bookmarkEnd w:id="57"/>
    </w:p>
    <w:p w14:paraId="593A9C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bookmarkStart w:id="58" w:name="_Toc30822"/>
      <w:bookmarkStart w:id="59" w:name="_Toc5052"/>
      <w:bookmarkStart w:id="60" w:name="_Toc8478"/>
      <w:r>
        <w:rPr>
          <w:rFonts w:hint="eastAsia" w:ascii="仿宋_GB2312" w:hAnsi="仿宋_GB2312" w:eastAsia="仿宋_GB2312" w:cs="仿宋_GB2312"/>
          <w:b w:val="0"/>
          <w:bCs w:val="0"/>
          <w:color w:val="auto"/>
          <w:sz w:val="32"/>
          <w:szCs w:val="32"/>
          <w:highlight w:val="none"/>
          <w:lang w:val="en-US" w:eastAsia="zh-CN"/>
        </w:rPr>
        <w:t>现代化产业体系是宾阳县高质量发展的坚实根基。坚持把发展经济的着力点放在实体经济上，统筹推动传统产业转型升级与战略性新兴产业培育壮大，坚定走智能化、绿色化、融合化发展道路。通过做优特色农业、做强先进工业、做大现代服</w:t>
      </w:r>
      <w:r>
        <w:rPr>
          <w:rFonts w:hint="eastAsia" w:ascii="仿宋_GB2312" w:hAnsi="仿宋_GB2312" w:cs="仿宋_GB2312"/>
          <w:b w:val="0"/>
          <w:bCs w:val="0"/>
          <w:color w:val="auto"/>
          <w:sz w:val="32"/>
          <w:szCs w:val="32"/>
          <w:highlight w:val="none"/>
          <w:lang w:val="en-US" w:eastAsia="zh-CN"/>
        </w:rPr>
        <w:t>务业</w:t>
      </w:r>
      <w:r>
        <w:rPr>
          <w:rFonts w:hint="eastAsia" w:ascii="仿宋_GB2312" w:hAnsi="仿宋_GB2312" w:eastAsia="仿宋_GB2312" w:cs="仿宋_GB2312"/>
          <w:b w:val="0"/>
          <w:bCs w:val="0"/>
          <w:color w:val="auto"/>
          <w:sz w:val="32"/>
          <w:szCs w:val="32"/>
          <w:highlight w:val="none"/>
          <w:lang w:val="en-US" w:eastAsia="zh-CN"/>
        </w:rPr>
        <w:t>，全面提升产业链供应链的韧性与核心竞争力，着力构建结构合理、特色鲜明、优势突出的现代产业新格局，为县域经济长远发展奠定坚实基础。</w:t>
      </w:r>
    </w:p>
    <w:p w14:paraId="23B7E7F8">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61" w:name="_Toc7252"/>
      <w:bookmarkStart w:id="62" w:name="_Toc30090"/>
      <w:bookmarkStart w:id="63" w:name="_Toc12868"/>
      <w:r>
        <w:rPr>
          <w:rFonts w:hint="eastAsia" w:cs="Times New Roman"/>
          <w:color w:val="auto"/>
          <w:sz w:val="32"/>
          <w:szCs w:val="32"/>
          <w:highlight w:val="none"/>
          <w:lang w:val="en-US" w:eastAsia="zh-CN"/>
        </w:rPr>
        <w:t xml:space="preserve">第一节 </w:t>
      </w:r>
      <w:bookmarkEnd w:id="58"/>
      <w:bookmarkEnd w:id="59"/>
      <w:r>
        <w:rPr>
          <w:rFonts w:hint="eastAsia" w:cs="Times New Roman"/>
          <w:color w:val="auto"/>
          <w:sz w:val="32"/>
          <w:szCs w:val="32"/>
          <w:highlight w:val="none"/>
          <w:lang w:val="en-US" w:eastAsia="zh-CN"/>
        </w:rPr>
        <w:t>推动传统产业转型升级</w:t>
      </w:r>
      <w:bookmarkEnd w:id="61"/>
      <w:bookmarkEnd w:id="62"/>
      <w:bookmarkEnd w:id="63"/>
    </w:p>
    <w:p w14:paraId="175AFC7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bookmarkStart w:id="64" w:name="OLE_LINK1"/>
      <w:r>
        <w:rPr>
          <w:rFonts w:hint="eastAsia" w:ascii="仿宋_GB2312" w:hAnsi="仿宋_GB2312" w:eastAsia="仿宋_GB2312" w:cs="仿宋_GB2312"/>
          <w:b/>
          <w:bCs/>
          <w:color w:val="auto"/>
          <w:sz w:val="32"/>
          <w:szCs w:val="32"/>
          <w:highlight w:val="none"/>
          <w:lang w:val="en-US" w:eastAsia="zh-CN"/>
        </w:rPr>
        <w:t>提升农副产品及食品加工产业</w:t>
      </w:r>
      <w:bookmarkEnd w:id="64"/>
      <w:r>
        <w:rPr>
          <w:rFonts w:hint="eastAsia" w:ascii="仿宋_GB2312" w:hAnsi="仿宋_GB2312" w:eastAsia="仿宋_GB2312" w:cs="仿宋_GB2312"/>
          <w:b/>
          <w:bCs/>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u w:val="none" w:color="auto"/>
          <w:lang w:val="en-US" w:eastAsia="zh-CN"/>
        </w:rPr>
        <w:t>引领传统产业向高端化、智能化、绿色化全面转型，以产业链整体提升和集群化发展为核心路径，</w:t>
      </w:r>
      <w:r>
        <w:rPr>
          <w:rFonts w:hint="eastAsia" w:ascii="仿宋_GB2312" w:hAnsi="仿宋_GB2312" w:eastAsia="仿宋_GB2312" w:cs="仿宋_GB2312"/>
          <w:b w:val="0"/>
          <w:bCs w:val="0"/>
          <w:color w:val="auto"/>
          <w:sz w:val="32"/>
          <w:szCs w:val="32"/>
          <w:highlight w:val="none"/>
          <w:lang w:val="en-US" w:eastAsia="zh-CN"/>
        </w:rPr>
        <w:t>重点围绕大米加工和制糖等优势产业，推动产业链向精深加工与循环经济延伸，提升产业附加值和绿色化水平。在大米加工方面，依托“古辣香米”等地域品牌，建设富硒水稻标准化种植基地和食品加工产业园，支持加工企业向米浆、生物合成蛋白、营养米粉等高附加值产品延伸，打造“水稻种植—精深加工—品牌销售”全产业链。在制糖产业方面，鼓励制糖企业开展技术改造与产能升级，重点发展液体糖浆、功能糖、特色糖等精深加工产品，推动糖业“二次创业”。同步构建糖蜜、滤泥、蔗渣、蔗叶等副产物综合利用体系，延伸形成“甘蔗—制糖—酵母、焦糖色素—有机肥还田”以及“蔗渣—可降解材料/生物质发电”等循环产业链，实现资源吃干榨尽、效益全面提升。重点发展牲畜、畜禽、水产品等饲料加工产业，加快发展新型饲料添加剂，推动饲料加工水平升级。通过培育预制菜、炮龙年菜等特色食品集群，建设一二三产融合示范项目，推动农业与食品加工业、服务业深度融合。</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CC7D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8FDAC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val="0"/>
                <w:bCs w:val="0"/>
                <w:color w:val="auto"/>
                <w:sz w:val="32"/>
                <w:szCs w:val="32"/>
                <w:highlight w:val="none"/>
                <w:lang w:val="en-US" w:eastAsia="zh-CN"/>
              </w:rPr>
            </w:pPr>
            <w:bookmarkStart w:id="65" w:name="OLE_LINK2"/>
            <w:r>
              <w:rPr>
                <w:rFonts w:hint="eastAsia" w:ascii="楷体" w:hAnsi="楷体" w:eastAsia="楷体" w:cs="楷体"/>
                <w:b/>
                <w:bCs/>
                <w:color w:val="auto"/>
                <w:sz w:val="32"/>
                <w:szCs w:val="32"/>
                <w:highlight w:val="none"/>
                <w:lang w:val="en-US" w:eastAsia="zh-CN"/>
              </w:rPr>
              <w:t>专栏3 农副产品及食品加工产业重点项目</w:t>
            </w:r>
          </w:p>
          <w:p w14:paraId="3B16201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宾阳县年综合精深生产六万吨优质特色米粉一万吨麦芽糖和两千吨雪饼项目、宾阳县香米精深加工综合产业园建设项目、大湾区智冷食谷创新基地（一期）项目、广西（宾阳）AI古辣香米农食产业园项目、年产20000吨富硒米及2500吨米糠油深加工项目、广西金富米业有限公司优质稻米全产业链项目、宾阳县畜禽产品深加工项目</w:t>
            </w:r>
            <w:r>
              <w:rPr>
                <w:rFonts w:hint="eastAsia" w:ascii="仿宋_GB2312" w:hAnsi="仿宋_GB2312" w:cs="仿宋_GB2312"/>
                <w:b w:val="0"/>
                <w:bCs w:val="0"/>
                <w:color w:val="auto"/>
                <w:sz w:val="32"/>
                <w:szCs w:val="32"/>
                <w:highlight w:val="none"/>
                <w:lang w:val="en-US" w:eastAsia="zh-CN"/>
              </w:rPr>
              <w:t>。</w:t>
            </w:r>
          </w:p>
        </w:tc>
      </w:tr>
      <w:bookmarkEnd w:id="65"/>
    </w:tbl>
    <w:p w14:paraId="032FEB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做优林产加工及造纸产业。</w:t>
      </w:r>
      <w:r>
        <w:rPr>
          <w:rFonts w:hint="eastAsia" w:ascii="仿宋_GB2312" w:hAnsi="仿宋_GB2312" w:eastAsia="仿宋_GB2312" w:cs="仿宋_GB2312"/>
          <w:b w:val="0"/>
          <w:bCs w:val="0"/>
          <w:color w:val="auto"/>
          <w:sz w:val="32"/>
          <w:szCs w:val="32"/>
          <w:highlight w:val="none"/>
          <w:lang w:val="en-US" w:eastAsia="zh-CN"/>
        </w:rPr>
        <w:t>立足县域林木资源丰富、纸业基础扎实的优势，以高端化、智能化、绿色化为方向延伸。依托现有木材加工企业集聚基础，积极引进品牌家具、定制家居、高端木地板及木制品企业，推动产品结构从粗加工向精深制造转型，配套发展五金配件、浸胶纸、封边带等关联产业，建设集研发、设计、生产、销售于一体的综合性绿色家居产业园，打造面向东盟的林产品加工基地。造纸产业重点发展生活用纸、特种纸等高附加值纸制品，加快东盟现代生活用纸产业园等项目建设，引导企业向手帕纸、面巾纸、厨房用纸、母婴用品等轻量化、功能化产品拓展，支持包装用纸企业开发电商快递适用型轻量化包装材料。推动建设原纸交易中心，增强供应链协同与议价能力，支持企业拓展纸制品电商渠道，提升纸制品区域影响力和市场竞争力。</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5D5D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C3749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专栏4 林产加工及造纸产业重点项目</w:t>
            </w:r>
          </w:p>
          <w:p w14:paraId="3E2E9A2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广西宾阳县博源木业（二期）项目、年产10万立方绿色板材胶合板项目、宾阳县生宝造纸厂扩建项目、宾阳县通用造纸厂扩建项目。</w:t>
            </w:r>
          </w:p>
        </w:tc>
      </w:tr>
    </w:tbl>
    <w:p w14:paraId="544485DE">
      <w:pPr>
        <w:pageBreakBefore w:val="0"/>
        <w:kinsoku/>
        <w:wordWrap/>
        <w:overflowPunct/>
        <w:topLinePunct w:val="0"/>
        <w:autoSpaceDE/>
        <w:autoSpaceDN/>
        <w:bidi w:val="0"/>
        <w:adjustRightInd/>
        <w:snapToGrid/>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推动新型建材产业绿色化转型。</w:t>
      </w:r>
      <w:r>
        <w:rPr>
          <w:rFonts w:hint="eastAsia" w:ascii="仿宋_GB2312" w:hAnsi="仿宋_GB2312" w:eastAsia="仿宋_GB2312" w:cs="仿宋_GB2312"/>
          <w:b w:val="0"/>
          <w:bCs w:val="0"/>
          <w:color w:val="auto"/>
          <w:sz w:val="32"/>
          <w:szCs w:val="32"/>
          <w:highlight w:val="none"/>
          <w:lang w:val="en-US" w:eastAsia="zh-CN"/>
        </w:rPr>
        <w:t>实施新型建材产业全产业链绿色改造工程，重点培育绿色水泥、节能玻璃及高端环保家居建材产品集群。加快推进玻璃产业向高端深加工领域延伸，依托浮法玻璃、欣阳玻璃等企业，重点发展新能源汽车玻璃、光伏玻璃、电子玻璃等特种玻璃产品。推动生产线智能化升级，引导企业在关键工序部署智能机械臂、AGV无人搬运系统，建设基于工业互联网的数字化车间，打造一批智能制造标杆企业。深化绿色制造体系建设，在水泥行业推广低碳制备技术与工业固废掺量优化，在家居建材领域推行水性漆全替代和无醛板材应用。加快建设建筑垃圾资源化利用中心，构建“拆除废料—分类分选—再生制造”闭环体系。强化产学研协同创新，突破高性能竹基复合材料、相变储能建材等关键技术，完善绿色产品认证与政府采购联动机制，全力打造面向东盟的绿色建材基地。</w:t>
      </w:r>
    </w:p>
    <w:p w14:paraId="78F827E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促进小五金产业集约发展。</w:t>
      </w:r>
      <w:r>
        <w:rPr>
          <w:rFonts w:hint="eastAsia" w:ascii="仿宋_GB2312" w:hAnsi="仿宋_GB2312" w:eastAsia="仿宋_GB2312" w:cs="仿宋_GB2312"/>
          <w:b w:val="0"/>
          <w:bCs w:val="0"/>
          <w:color w:val="auto"/>
          <w:sz w:val="32"/>
          <w:szCs w:val="32"/>
          <w:highlight w:val="none"/>
          <w:lang w:val="en-US" w:eastAsia="zh-CN"/>
        </w:rPr>
        <w:t>推动五金制造产业从分散粗放向集聚高效转变，打造具有区域影响力的“广西小五金之</w:t>
      </w:r>
      <w:r>
        <w:rPr>
          <w:rFonts w:hint="eastAsia" w:ascii="仿宋_GB2312" w:hAnsi="仿宋_GB2312" w:cs="仿宋_GB2312"/>
          <w:b w:val="0"/>
          <w:bCs w:val="0"/>
          <w:color w:val="auto"/>
          <w:sz w:val="32"/>
          <w:szCs w:val="32"/>
          <w:highlight w:val="none"/>
          <w:u w:val="none"/>
          <w:lang w:val="en-US" w:eastAsia="zh-CN"/>
        </w:rPr>
        <w:t>乡</w:t>
      </w:r>
      <w:r>
        <w:rPr>
          <w:rFonts w:hint="eastAsia" w:ascii="仿宋_GB2312" w:hAnsi="仿宋_GB2312" w:eastAsia="仿宋_GB2312" w:cs="仿宋_GB2312"/>
          <w:b w:val="0"/>
          <w:bCs w:val="0"/>
          <w:color w:val="auto"/>
          <w:sz w:val="32"/>
          <w:szCs w:val="32"/>
          <w:highlight w:val="none"/>
          <w:lang w:val="en-US" w:eastAsia="zh-CN"/>
        </w:rPr>
        <w:t>”。整合盘活农村闲置土地与低效用地，高标准推进现代五金加工产业园建设，引导小微企业入驻园区标准厂房，促进企业集中布局与产业链协同，逐步改变“小、散、乱”的发展格局。鼓励企业实施技术改造与设备更新，推动规模化、标准化生产，增强行业整体竞争力。加强品牌建设与市场拓展，依托大罗村小五金展示中心与电商直播平台，推动线上线下融合销售，提升“宾阳小五金”品牌影响力和市场覆盖面。聚焦五金配件、厨卫五金、工具及家居五金等重点领域，促进小五金产业向特色化、新颖化、高端化发展。</w:t>
      </w:r>
    </w:p>
    <w:p w14:paraId="5CA066BF">
      <w:pPr>
        <w:pStyle w:val="4"/>
        <w:ind w:firstLine="0" w:firstLineChars="0"/>
        <w:jc w:val="center"/>
        <w:outlineLvl w:val="1"/>
        <w:rPr>
          <w:rFonts w:hint="eastAsia" w:ascii="Times New Roman" w:hAnsi="Times New Roman" w:cs="Times New Roman"/>
          <w:color w:val="auto"/>
          <w:szCs w:val="32"/>
          <w:highlight w:val="none"/>
          <w:lang w:val="en-US" w:eastAsia="zh-CN"/>
        </w:rPr>
      </w:pPr>
      <w:bookmarkStart w:id="66" w:name="_Toc11535"/>
      <w:bookmarkStart w:id="67" w:name="_Toc24569"/>
      <w:bookmarkStart w:id="68" w:name="_Toc23291"/>
      <w:bookmarkStart w:id="69" w:name="_Toc21750"/>
      <w:bookmarkStart w:id="70" w:name="_Toc5451"/>
      <w:r>
        <w:rPr>
          <w:rFonts w:hint="eastAsia" w:ascii="Times New Roman" w:hAnsi="Times New Roman" w:cs="Times New Roman"/>
          <w:color w:val="auto"/>
          <w:szCs w:val="32"/>
          <w:highlight w:val="none"/>
          <w:lang w:val="en-US" w:eastAsia="zh-CN"/>
        </w:rPr>
        <w:t xml:space="preserve">第二节 </w:t>
      </w:r>
      <w:bookmarkEnd w:id="66"/>
      <w:bookmarkEnd w:id="67"/>
      <w:r>
        <w:rPr>
          <w:rFonts w:hint="eastAsia" w:ascii="Times New Roman" w:hAnsi="Times New Roman" w:cs="Times New Roman"/>
          <w:color w:val="auto"/>
          <w:szCs w:val="32"/>
          <w:highlight w:val="none"/>
          <w:lang w:val="en-US" w:eastAsia="zh-CN"/>
        </w:rPr>
        <w:t>聚力培育新兴产业与未来产业</w:t>
      </w:r>
      <w:bookmarkEnd w:id="68"/>
      <w:bookmarkEnd w:id="69"/>
      <w:bookmarkEnd w:id="70"/>
    </w:p>
    <w:p w14:paraId="1C9D445D">
      <w:pPr>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cs="仿宋_GB2312"/>
          <w:b/>
          <w:bCs/>
          <w:color w:val="auto"/>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做大做强电子信息产业。</w:t>
      </w:r>
      <w:r>
        <w:rPr>
          <w:rFonts w:hint="eastAsia" w:ascii="仿宋_GB2312" w:hAnsi="仿宋_GB2312" w:eastAsia="仿宋_GB2312" w:cs="仿宋_GB2312"/>
          <w:b w:val="0"/>
          <w:bCs w:val="0"/>
          <w:color w:val="auto"/>
          <w:sz w:val="32"/>
          <w:szCs w:val="32"/>
          <w:highlight w:val="none"/>
          <w:lang w:val="en-US" w:eastAsia="zh-CN"/>
        </w:rPr>
        <w:t>依托宾州电子信息产业园和黎塘工业园区现有基础，</w:t>
      </w:r>
      <w:r>
        <w:rPr>
          <w:rFonts w:hint="eastAsia" w:ascii="仿宋_GB2312" w:hAnsi="仿宋_GB2312" w:cs="仿宋_GB2312"/>
          <w:b w:val="0"/>
          <w:bCs w:val="0"/>
          <w:color w:val="auto"/>
          <w:sz w:val="32"/>
          <w:szCs w:val="32"/>
          <w:highlight w:val="none"/>
          <w:u w:val="none"/>
          <w:lang w:val="en-US" w:eastAsia="zh-CN"/>
        </w:rPr>
        <w:t>重点规划建设县城滨水新区（宾州产业园南片区）电子元器产业区</w:t>
      </w:r>
      <w:r>
        <w:rPr>
          <w:rFonts w:hint="eastAsia" w:ascii="仿宋_GB2312" w:hAnsi="仿宋_GB2312" w:cs="仿宋_GB2312"/>
          <w:b w:val="0"/>
          <w:bCs w:val="0"/>
          <w:color w:val="auto"/>
          <w:sz w:val="32"/>
          <w:szCs w:val="32"/>
          <w:highlight w:val="none"/>
          <w:u w:val="thick"/>
          <w:lang w:val="en-US" w:eastAsia="zh-CN"/>
        </w:rPr>
        <w:t>，</w:t>
      </w:r>
      <w:r>
        <w:rPr>
          <w:rFonts w:hint="eastAsia" w:ascii="仿宋_GB2312" w:hAnsi="仿宋_GB2312" w:eastAsia="仿宋_GB2312" w:cs="仿宋_GB2312"/>
          <w:b w:val="0"/>
          <w:bCs w:val="0"/>
          <w:color w:val="auto"/>
          <w:sz w:val="32"/>
          <w:szCs w:val="32"/>
          <w:highlight w:val="none"/>
          <w:lang w:val="en-US" w:eastAsia="zh-CN"/>
        </w:rPr>
        <w:t>聚焦电子元器件、智能终端、新能源汽车电子配套</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cs="仿宋_GB2312"/>
          <w:b w:val="0"/>
          <w:bCs w:val="0"/>
          <w:color w:val="auto"/>
          <w:sz w:val="32"/>
          <w:szCs w:val="32"/>
          <w:highlight w:val="none"/>
          <w:u w:val="none"/>
          <w:lang w:val="en-US" w:eastAsia="zh-CN"/>
        </w:rPr>
        <w:t>先进制造业</w:t>
      </w:r>
      <w:r>
        <w:rPr>
          <w:rFonts w:hint="eastAsia" w:ascii="仿宋_GB2312" w:hAnsi="仿宋_GB2312" w:eastAsia="仿宋_GB2312" w:cs="仿宋_GB2312"/>
          <w:b w:val="0"/>
          <w:bCs w:val="0"/>
          <w:color w:val="auto"/>
          <w:sz w:val="32"/>
          <w:szCs w:val="32"/>
          <w:highlight w:val="none"/>
          <w:lang w:val="en-US" w:eastAsia="zh-CN"/>
        </w:rPr>
        <w:t>等细分领域，加快</w:t>
      </w:r>
      <w:r>
        <w:rPr>
          <w:rFonts w:hint="eastAsia" w:ascii="仿宋_GB2312" w:hAnsi="仿宋_GB2312" w:cs="仿宋_GB2312"/>
          <w:b w:val="0"/>
          <w:bCs w:val="0"/>
          <w:color w:val="auto"/>
          <w:sz w:val="32"/>
          <w:szCs w:val="32"/>
          <w:highlight w:val="none"/>
          <w:lang w:val="en-US" w:eastAsia="zh-CN"/>
        </w:rPr>
        <w:t>延链补链强链</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cs="仿宋_GB2312"/>
          <w:b w:val="0"/>
          <w:bCs w:val="0"/>
          <w:strike w:val="0"/>
          <w:dstrike w:val="0"/>
          <w:color w:val="auto"/>
          <w:sz w:val="32"/>
          <w:szCs w:val="32"/>
          <w:highlight w:val="none"/>
          <w:u w:val="none"/>
          <w:lang w:val="en-US" w:eastAsia="zh-CN"/>
        </w:rPr>
        <w:t>积极</w:t>
      </w:r>
      <w:r>
        <w:rPr>
          <w:rFonts w:hint="eastAsia" w:ascii="仿宋_GB2312" w:hAnsi="仿宋_GB2312" w:eastAsia="仿宋_GB2312" w:cs="仿宋_GB2312"/>
          <w:b w:val="0"/>
          <w:bCs w:val="0"/>
          <w:color w:val="auto"/>
          <w:sz w:val="32"/>
          <w:szCs w:val="32"/>
          <w:highlight w:val="none"/>
          <w:lang w:val="en-US" w:eastAsia="zh-CN"/>
        </w:rPr>
        <w:t>引进智能穿戴、网络通信设备、汽车电子等领域龙头企业，支持岑科电子等现有企业扩建升级，扩大高频电感器等核心元器件产能。积极承接粤港澳大湾区产业转移，对接南宁市新能源汽车产业链，发展电池、电控、传感器等配套产业，推动产业向高端化、高附加值转型。强化科技创新驱动，鼓励企业组建创新联合体，建设电子信息产学研平台，攻克关键技术，培育一批“专精特新”企业和制造业单项冠军。完善园区基础设施与配套服务，优化营商环境，吸引上下游企业集聚，构建“研发—制造—应用”协同生态。力争“十五五”期末电子信息产业集群规模突破百亿元，建成南宁市电子信息产业重要增长极。</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5DAD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CAFE1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专栏5 电子信息产业重点项目</w:t>
            </w:r>
          </w:p>
          <w:p w14:paraId="68AF86C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猎声科技智能穿戴产品制造项目、广西岑科电子工业有限公司电感元器件生产项目</w:t>
            </w:r>
            <w:r>
              <w:rPr>
                <w:rFonts w:hint="eastAsia" w:ascii="仿宋_GB2312" w:hAnsi="仿宋_GB2312" w:cs="仿宋_GB2312"/>
                <w:b w:val="0"/>
                <w:bCs w:val="0"/>
                <w:strike w:val="0"/>
                <w:dstrike w:val="0"/>
                <w:color w:val="auto"/>
                <w:sz w:val="32"/>
                <w:szCs w:val="32"/>
                <w:highlight w:val="none"/>
                <w:u w:val="none"/>
                <w:lang w:val="en-US" w:eastAsia="zh-CN"/>
              </w:rPr>
              <w:t>、</w:t>
            </w:r>
            <w:r>
              <w:rPr>
                <w:rFonts w:hint="eastAsia" w:ascii="仿宋_GB2312" w:hAnsi="仿宋_GB2312" w:cs="仿宋_GB2312"/>
                <w:b w:val="0"/>
                <w:bCs w:val="0"/>
                <w:color w:val="auto"/>
                <w:sz w:val="32"/>
                <w:szCs w:val="32"/>
                <w:highlight w:val="none"/>
                <w:u w:val="none"/>
                <w:lang w:val="en-US" w:eastAsia="zh-CN"/>
              </w:rPr>
              <w:t>县城滨水新区（宾州产业园南片区）电子元器产业项目。</w:t>
            </w:r>
          </w:p>
        </w:tc>
      </w:tr>
    </w:tbl>
    <w:p w14:paraId="308C5964">
      <w:pPr>
        <w:pageBreakBefore w:val="0"/>
        <w:kinsoku/>
        <w:wordWrap/>
        <w:overflowPunct/>
        <w:topLinePunct w:val="0"/>
        <w:autoSpaceDE/>
        <w:autoSpaceDN/>
        <w:bidi w:val="0"/>
        <w:adjustRightInd/>
        <w:snapToGrid/>
        <w:spacing w:line="560" w:lineRule="exact"/>
        <w:ind w:firstLine="640"/>
        <w:textAlignment w:val="auto"/>
        <w:rPr>
          <w:rFonts w:hint="eastAsia" w:ascii="仿宋_GB2312" w:hAnsi="仿宋_GB2312" w:cs="仿宋_GB2312"/>
          <w:b/>
          <w:bCs/>
          <w:color w:val="auto"/>
          <w:szCs w:val="32"/>
          <w:highlight w:val="none"/>
          <w:lang w:val="en-US" w:eastAsia="zh-CN"/>
        </w:rPr>
      </w:pPr>
    </w:p>
    <w:p w14:paraId="44A95F4F">
      <w:pPr>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壮大新能源新材料产业集群。</w:t>
      </w:r>
      <w:r>
        <w:rPr>
          <w:rFonts w:hint="eastAsia" w:ascii="仿宋_GB2312" w:hAnsi="仿宋_GB2312" w:eastAsia="仿宋_GB2312" w:cs="仿宋_GB2312"/>
          <w:b w:val="0"/>
          <w:bCs w:val="0"/>
          <w:color w:val="auto"/>
          <w:sz w:val="32"/>
          <w:szCs w:val="32"/>
          <w:highlight w:val="none"/>
          <w:lang w:val="en-US" w:eastAsia="zh-CN"/>
        </w:rPr>
        <w:t>以高端化、集群化、绿色化为方向，加快发展光伏组件、新型储能、铝铜精深加工、碳酸钙新材料等关键领域，全力打造新能源新材料产业基地。聚焦新能源光伏赛道，以广西晶飞能源科技有限公司为龙头，重点推进晶飞</w:t>
      </w:r>
      <w:r>
        <w:rPr>
          <w:rFonts w:hint="eastAsia" w:ascii="仿宋_GB2312" w:hAnsi="仿宋_GB2312" w:eastAsia="仿宋_GB2312" w:cs="仿宋_GB2312"/>
          <w:b w:val="0"/>
          <w:bCs w:val="0"/>
          <w:strike w:val="0"/>
          <w:dstrike w:val="0"/>
          <w:color w:val="auto"/>
          <w:sz w:val="32"/>
          <w:szCs w:val="32"/>
          <w:highlight w:val="none"/>
          <w:u w:val="none"/>
          <w:lang w:val="en-US" w:eastAsia="zh-CN"/>
        </w:rPr>
        <w:t>二期</w:t>
      </w:r>
      <w:r>
        <w:rPr>
          <w:rFonts w:hint="eastAsia" w:ascii="仿宋_GB2312" w:hAnsi="仿宋_GB2312" w:cs="仿宋_GB2312"/>
          <w:b w:val="0"/>
          <w:bCs w:val="0"/>
          <w:strike w:val="0"/>
          <w:dstrike w:val="0"/>
          <w:color w:val="auto"/>
          <w:sz w:val="32"/>
          <w:szCs w:val="32"/>
          <w:highlight w:val="none"/>
          <w:u w:val="none"/>
          <w:lang w:val="en-US" w:eastAsia="zh-CN"/>
        </w:rPr>
        <w:t>人工智能新型电力储能创新技改光伏组件基地</w:t>
      </w:r>
      <w:r>
        <w:rPr>
          <w:rFonts w:hint="eastAsia" w:ascii="仿宋_GB2312" w:hAnsi="仿宋_GB2312" w:eastAsia="仿宋_GB2312" w:cs="仿宋_GB2312"/>
          <w:b w:val="0"/>
          <w:bCs w:val="0"/>
          <w:color w:val="auto"/>
          <w:sz w:val="32"/>
          <w:szCs w:val="32"/>
          <w:highlight w:val="none"/>
          <w:lang w:val="en-US" w:eastAsia="zh-CN"/>
        </w:rPr>
        <w:t>、光伏电池片</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cs="仿宋_GB2312"/>
          <w:b w:val="0"/>
          <w:bCs w:val="0"/>
          <w:color w:val="auto"/>
          <w:sz w:val="32"/>
          <w:szCs w:val="32"/>
          <w:highlight w:val="none"/>
          <w:u w:val="none"/>
          <w:lang w:val="en-US" w:eastAsia="zh-CN"/>
        </w:rPr>
        <w:t>宾阳县绿色制造产业发展先行区</w:t>
      </w:r>
      <w:r>
        <w:rPr>
          <w:rFonts w:hint="eastAsia" w:ascii="仿宋_GB2312" w:hAnsi="仿宋_GB2312" w:eastAsia="仿宋_GB2312" w:cs="仿宋_GB2312"/>
          <w:b w:val="0"/>
          <w:bCs w:val="0"/>
          <w:color w:val="auto"/>
          <w:sz w:val="32"/>
          <w:szCs w:val="32"/>
          <w:highlight w:val="none"/>
          <w:lang w:val="en-US" w:eastAsia="zh-CN"/>
        </w:rPr>
        <w:t>等重大项目建设，同步引进和培育光伏支架、逆变器、边框等配套企业，加速形成硅片、电池、组件及配套应用的完整产业链，打造百亿级新能源光伏产业集群。拓展铝铜新材料产业链，重点发展精密电子铜箔、超薄锂电铜箔、新能源汽车铝型材等高端产品。鼓励利用工业固废开展碳酸钙等新材料精深加工，提升资源综合利用水平。依托全国农村能源革命试点县政策优势，积极布局新型储能、智慧能源等场景应用，引导“光伏+储能+制造”融合发展，构建清洁低碳、安全高效的新能源产业体系。</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5301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692CC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w:t>
            </w:r>
            <w:r>
              <w:rPr>
                <w:rFonts w:hint="eastAsia" w:ascii="楷体" w:hAnsi="楷体" w:eastAsia="楷体" w:cs="楷体"/>
                <w:b/>
                <w:bCs/>
                <w:color w:val="auto"/>
                <w:sz w:val="32"/>
                <w:szCs w:val="32"/>
                <w:highlight w:val="none"/>
                <w:u w:val="none"/>
                <w:lang w:val="en-US" w:eastAsia="zh-CN"/>
              </w:rPr>
              <w:t>6</w:t>
            </w:r>
            <w:r>
              <w:rPr>
                <w:rFonts w:hint="eastAsia" w:ascii="楷体" w:hAnsi="楷体" w:eastAsia="楷体" w:cs="楷体"/>
                <w:b/>
                <w:bCs/>
                <w:color w:val="auto"/>
                <w:sz w:val="32"/>
                <w:szCs w:val="32"/>
                <w:highlight w:val="none"/>
                <w:lang w:val="en-US" w:eastAsia="zh-CN"/>
              </w:rPr>
              <w:t xml:space="preserve"> 新能源新材料产业重点项目</w:t>
            </w:r>
          </w:p>
          <w:p w14:paraId="511826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南宁多弗航空产业园宾阳项目、</w:t>
            </w:r>
            <w:r>
              <w:rPr>
                <w:rFonts w:hint="eastAsia" w:ascii="仿宋_GB2312" w:hAnsi="仿宋_GB2312" w:eastAsia="仿宋_GB2312" w:cs="仿宋_GB2312"/>
                <w:b w:val="0"/>
                <w:bCs w:val="0"/>
                <w:color w:val="auto"/>
                <w:sz w:val="32"/>
                <w:szCs w:val="32"/>
                <w:highlight w:val="none"/>
                <w:u w:val="none"/>
                <w:lang w:val="en-US" w:eastAsia="zh-CN"/>
              </w:rPr>
              <w:t>宾阳邹圩光伏项目一期工程</w:t>
            </w:r>
            <w:r>
              <w:rPr>
                <w:rFonts w:hint="eastAsia" w:ascii="仿宋_GB2312" w:hAnsi="仿宋_GB2312" w:cs="仿宋_GB2312"/>
                <w:b w:val="0"/>
                <w:bCs w:val="0"/>
                <w:color w:val="auto"/>
                <w:sz w:val="32"/>
                <w:szCs w:val="32"/>
                <w:highlight w:val="none"/>
                <w:u w:val="none"/>
                <w:lang w:val="en-US" w:eastAsia="zh-CN"/>
              </w:rPr>
              <w:t>、</w:t>
            </w:r>
            <w:r>
              <w:rPr>
                <w:rFonts w:hint="eastAsia" w:ascii="仿宋_GB2312" w:hAnsi="仿宋_GB2312" w:cs="仿宋_GB2312"/>
                <w:b w:val="0"/>
                <w:bCs w:val="0"/>
                <w:color w:val="auto"/>
                <w:sz w:val="32"/>
                <w:szCs w:val="32"/>
                <w:highlight w:val="none"/>
                <w:lang w:val="en-US" w:eastAsia="zh-CN"/>
              </w:rPr>
              <w:t>宾阳黎塘风电场、宾阳王灵风电场、宾阳武陵风电场、宾阳黎塘青山风电场、宾阳宾州马王风电场、</w:t>
            </w:r>
            <w:r>
              <w:rPr>
                <w:rFonts w:hint="eastAsia" w:ascii="仿宋_GB2312" w:hAnsi="仿宋_GB2312" w:eastAsia="仿宋_GB2312" w:cs="仿宋_GB2312"/>
                <w:b w:val="0"/>
                <w:bCs w:val="0"/>
                <w:color w:val="auto"/>
                <w:sz w:val="32"/>
                <w:szCs w:val="32"/>
                <w:highlight w:val="none"/>
                <w:lang w:val="en-US" w:eastAsia="zh-CN"/>
              </w:rPr>
              <w:t>广西联储综合能源有限公司储能电站项目、</w:t>
            </w:r>
            <w:r>
              <w:rPr>
                <w:rFonts w:hint="eastAsia" w:ascii="仿宋_GB2312" w:hAnsi="仿宋_GB2312" w:cs="仿宋_GB2312"/>
                <w:b w:val="0"/>
                <w:bCs w:val="0"/>
                <w:color w:val="auto"/>
                <w:sz w:val="32"/>
                <w:szCs w:val="32"/>
                <w:highlight w:val="none"/>
                <w:lang w:val="en-US" w:eastAsia="zh-CN"/>
              </w:rPr>
              <w:t>宾阳县绿色制造产业发展先行区建设项目。</w:t>
            </w:r>
          </w:p>
        </w:tc>
      </w:tr>
    </w:tbl>
    <w:p w14:paraId="053414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b/>
          <w:bCs/>
          <w:strike w:val="0"/>
          <w:dstrike w:val="0"/>
          <w:color w:val="auto"/>
          <w:highlight w:val="none"/>
          <w:u w:val="none"/>
          <w:lang w:val="en-US" w:eastAsia="zh-CN"/>
        </w:rPr>
        <w:t>发展</w:t>
      </w:r>
      <w:r>
        <w:rPr>
          <w:rFonts w:hint="eastAsia" w:ascii="仿宋_GB2312" w:hAnsi="仿宋_GB2312" w:eastAsia="仿宋_GB2312" w:cs="仿宋_GB2312"/>
          <w:b/>
          <w:bCs/>
          <w:color w:val="auto"/>
          <w:sz w:val="32"/>
          <w:szCs w:val="32"/>
          <w:highlight w:val="none"/>
          <w:lang w:val="en-US" w:eastAsia="zh-CN"/>
        </w:rPr>
        <w:t>低空经济产业。</w:t>
      </w:r>
      <w:r>
        <w:rPr>
          <w:rFonts w:hint="eastAsia" w:ascii="仿宋_GB2312" w:hAnsi="仿宋_GB2312" w:eastAsia="仿宋_GB2312" w:cs="仿宋_GB2312"/>
          <w:b w:val="0"/>
          <w:bCs w:val="0"/>
          <w:color w:val="auto"/>
          <w:sz w:val="32"/>
          <w:szCs w:val="32"/>
          <w:highlight w:val="none"/>
          <w:lang w:val="en-US" w:eastAsia="zh-CN"/>
        </w:rPr>
        <w:t>抢抓低空经济发展战略窗口期，以建设北部湾通航产业示范区为目标，依托南宁多弗航空产业园、鼎峰植保无人机等重点项目，积极引进无人机整机制造、飞控系统、智能传感器等上下游企业，加快构建“研发—制造—运营—服务”全产业链。大力推进低空经济产业园建设，系统拓展农业植保、物流配送、应急救援、电力巡检、文旅服务等多元化应用场景，</w:t>
      </w:r>
      <w:r>
        <w:rPr>
          <w:rFonts w:hint="eastAsia" w:ascii="仿宋_GB2312" w:hAnsi="仿宋_GB2312" w:cs="仿宋_GB2312"/>
          <w:b w:val="0"/>
          <w:bCs w:val="0"/>
          <w:i w:val="0"/>
          <w:iCs w:val="0"/>
          <w:strike w:val="0"/>
          <w:dstrike w:val="0"/>
          <w:color w:val="auto"/>
          <w:sz w:val="32"/>
          <w:szCs w:val="32"/>
          <w:highlight w:val="none"/>
          <w:u w:val="none"/>
          <w:lang w:val="en-US" w:eastAsia="zh-CN"/>
        </w:rPr>
        <w:t>发展</w:t>
      </w:r>
      <w:r>
        <w:rPr>
          <w:rFonts w:hint="eastAsia" w:ascii="仿宋_GB2312" w:hAnsi="仿宋_GB2312" w:eastAsia="仿宋_GB2312" w:cs="仿宋_GB2312"/>
          <w:b w:val="0"/>
          <w:bCs w:val="0"/>
          <w:color w:val="auto"/>
          <w:sz w:val="32"/>
          <w:szCs w:val="32"/>
          <w:highlight w:val="none"/>
          <w:lang w:val="en-US" w:eastAsia="zh-CN"/>
        </w:rPr>
        <w:t>低空经济县域应用示范。同步健全空域协同管理机制，完善起降场地、通信导航、能源补给等基础设施网络，规划建设低空经济县域应用场景大数据中心与绿色能源补给服务站，强化空域数据支撑与智慧管控能力，推动低空产业与人工智能、新能源等技术深度融合，培育形成低空经济产业集群。</w:t>
      </w:r>
    </w:p>
    <w:p w14:paraId="409A087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培育智能装备制造产业。</w:t>
      </w:r>
      <w:r>
        <w:rPr>
          <w:rFonts w:hint="eastAsia" w:ascii="仿宋_GB2312" w:hAnsi="仿宋_GB2312" w:eastAsia="仿宋_GB2312" w:cs="仿宋_GB2312"/>
          <w:b w:val="0"/>
          <w:bCs w:val="0"/>
          <w:color w:val="auto"/>
          <w:sz w:val="32"/>
          <w:szCs w:val="32"/>
          <w:highlight w:val="none"/>
          <w:lang w:val="en-US" w:eastAsia="zh-CN"/>
        </w:rPr>
        <w:t>聚焦产业需求和应用场景，积极构建与养老、教育、医疗等现代服务业需求相匹配的柔性智能装备制造体系，积极发展智能运载、智能家居、智能医疗、智能穿戴设备等新一代智能终端产品。依托黎塘工业园区等重点载体，推动智能装备在农业植保、物流分拣、医疗服务、康养照护等重点领域实现场景化应用，提升人机交互、灵巧抓取、分拣搬运、智能配送等作业能力。支持企业加大在人工智能、物联网、工业互联网等关键领域的研发投入和技术创新，鼓励发展智能传感与控制装备、智能检测与装配系统等先进制造技术。加强与粤港澳大湾区在技术、人才、市场等方面的对接合作，积极承接智能装备产业链关键环节转移，着力打造具有区域竞争力的智能装备制造产业集群。</w:t>
      </w:r>
    </w:p>
    <w:p w14:paraId="4371C777">
      <w:pPr>
        <w:pageBreakBefore w:val="0"/>
        <w:kinsoku/>
        <w:wordWrap/>
        <w:overflowPunct/>
        <w:topLinePunct w:val="0"/>
        <w:autoSpaceDE/>
        <w:autoSpaceDN/>
        <w:bidi w:val="0"/>
        <w:adjustRightInd/>
        <w:snapToGrid/>
        <w:spacing w:line="560" w:lineRule="exact"/>
        <w:ind w:firstLine="643"/>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前瞻布局未来产业。</w:t>
      </w:r>
      <w:r>
        <w:rPr>
          <w:rFonts w:hint="eastAsia" w:ascii="仿宋_GB2312" w:hAnsi="仿宋_GB2312" w:eastAsia="仿宋_GB2312" w:cs="仿宋_GB2312"/>
          <w:b w:val="0"/>
          <w:bCs w:val="0"/>
          <w:color w:val="auto"/>
          <w:sz w:val="32"/>
          <w:szCs w:val="32"/>
          <w:highlight w:val="none"/>
          <w:lang w:val="en-US" w:eastAsia="zh-CN"/>
        </w:rPr>
        <w:t>积极探索具身智能、氢能、新型储能等未来产业，依托宾阳县在装备制造与新能源领域的产业基础，积极承接南宁东部新城科技外溢与产业链延伸。推动新型储能与智慧能源系统在农业、工业及城乡用电场景中的示范应用，拓展“新能源+产业”融合模式。围绕工业机器人产业链，因地制宜引进关节机器人本体，以及伺服电机、运动控制器、减速机等核心零部件配套项目，逐步构建机器人研发制造与系统集成能力。支持建设新型研发机构、工程技术中心和产学研合作平台，推动具身智能、氢能等技术在智能制造、物流仓储、现代农业等多元场景中的试点与应用示范，增强工业经济创新支撑力。</w:t>
      </w:r>
    </w:p>
    <w:p w14:paraId="1B32DE8F">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71" w:name="_Toc31638"/>
      <w:bookmarkStart w:id="72" w:name="_Toc12600"/>
      <w:bookmarkStart w:id="73" w:name="_Toc16916"/>
      <w:bookmarkStart w:id="74" w:name="_Toc6307"/>
      <w:bookmarkStart w:id="75" w:name="_Toc6573"/>
      <w:r>
        <w:rPr>
          <w:rFonts w:hint="default"/>
          <w:color w:val="auto"/>
          <w:highlight w:val="none"/>
          <w:lang w:val="en-US" w:eastAsia="zh-CN"/>
        </w:rPr>
        <w:t>第三节</w:t>
      </w:r>
      <w:r>
        <w:rPr>
          <w:rFonts w:hint="eastAsia"/>
          <w:color w:val="auto"/>
          <w:highlight w:val="none"/>
          <w:lang w:val="en-US" w:eastAsia="zh-CN"/>
        </w:rPr>
        <w:t xml:space="preserve"> </w:t>
      </w:r>
      <w:bookmarkEnd w:id="71"/>
      <w:bookmarkEnd w:id="72"/>
      <w:r>
        <w:rPr>
          <w:rFonts w:hint="eastAsia"/>
          <w:color w:val="auto"/>
          <w:highlight w:val="none"/>
          <w:lang w:val="en-US" w:eastAsia="zh-CN"/>
        </w:rPr>
        <w:t>促进现代服务业提质增效发展</w:t>
      </w:r>
      <w:bookmarkEnd w:id="73"/>
      <w:bookmarkEnd w:id="74"/>
      <w:bookmarkEnd w:id="75"/>
    </w:p>
    <w:p w14:paraId="394A3C8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构建高效现代物流体系。</w:t>
      </w:r>
      <w:r>
        <w:rPr>
          <w:rFonts w:hint="eastAsia" w:ascii="仿宋_GB2312" w:hAnsi="仿宋_GB2312" w:eastAsia="仿宋_GB2312" w:cs="仿宋_GB2312"/>
          <w:b w:val="0"/>
          <w:bCs w:val="0"/>
          <w:color w:val="auto"/>
          <w:sz w:val="32"/>
          <w:szCs w:val="32"/>
          <w:highlight w:val="none"/>
          <w:lang w:val="en-US" w:eastAsia="zh-CN"/>
        </w:rPr>
        <w:t>强化南宁都市圈南向北联东融枢纽功能，规划建设集仓储、分拨、配送、信息服务于一体的现代物流产业园，重点推进黎塘物流集散枢纽中心</w:t>
      </w:r>
      <w:r>
        <w:rPr>
          <w:rFonts w:hint="eastAsia" w:ascii="仿宋_GB2312" w:hAnsi="仿宋_GB2312" w:cs="仿宋_GB2312"/>
          <w:b w:val="0"/>
          <w:bCs w:val="0"/>
          <w:color w:val="auto"/>
          <w:sz w:val="32"/>
          <w:szCs w:val="32"/>
          <w:highlight w:val="none"/>
          <w:u w:val="none"/>
          <w:lang w:val="en-US" w:eastAsia="zh-CN"/>
        </w:rPr>
        <w:t>、县城南物流园等</w:t>
      </w:r>
      <w:r>
        <w:rPr>
          <w:rFonts w:hint="eastAsia" w:ascii="仿宋_GB2312" w:hAnsi="仿宋_GB2312" w:eastAsia="仿宋_GB2312" w:cs="仿宋_GB2312"/>
          <w:b w:val="0"/>
          <w:bCs w:val="0"/>
          <w:color w:val="auto"/>
          <w:sz w:val="32"/>
          <w:szCs w:val="32"/>
          <w:highlight w:val="none"/>
          <w:lang w:val="en-US" w:eastAsia="zh-CN"/>
        </w:rPr>
        <w:t>项目建设，打造区域性大宗商品、快递物流和冷链物流集散中心。积极发展多式联运，强化黎塘站铁路货运编组功能，推进与南宁国际铁路港、南宁港协同联动，构建“公路+铁路+水运”联运走廊，衔接平陆运河实现江海直达，大幅降低物流成本、提升货物出海效率。推动物流数字化转型，建设智慧物流信息平台，推广应用物联网、大数据等技术，提升供应链可视化与协同管理能力。完善县乡村三级物流网络，优化县级物流配送中心功能，推进农产品产地冷藏保鲜设施建设积极引进现代物流龙头企业，培育本土供应链管理服务商，着力构建枢纽引领、智慧高效、衔接城乡的现代物流服务体系。</w:t>
      </w:r>
    </w:p>
    <w:p w14:paraId="1887942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提升生产性服务业支撑发展功能。</w:t>
      </w:r>
      <w:r>
        <w:rPr>
          <w:rFonts w:hint="eastAsia" w:ascii="仿宋_GB2312" w:hAnsi="仿宋_GB2312" w:eastAsia="仿宋_GB2312" w:cs="仿宋_GB2312"/>
          <w:b w:val="0"/>
          <w:bCs w:val="0"/>
          <w:color w:val="auto"/>
          <w:sz w:val="32"/>
          <w:szCs w:val="32"/>
          <w:highlight w:val="none"/>
          <w:lang w:val="en-US" w:eastAsia="zh-CN"/>
        </w:rPr>
        <w:t>坚持专业化、高端化方向，推动生产性服务业与先进制造业、现代农业深度融合。发展科技与信息服务，依托“宾阳县新质生产力创新基地”等载体，加快建设人工智能、大数据应用创新平台，推动工业互联网、软件信息服务深度赋能传统建材、农产品加工等产业智能化转型。壮大专业商务服务，积极发展研发设计、检验检测、会展服务、管理咨询等业态，为电子信息、新能源汽车零配件等产业链提供专业化、精细化配套服务。强化产业金融支撑，健全“政银企”对接长效机制，用好市县联动产业发展母基金，推动绿色金融、普惠金融产品创新，完善覆盖企业全生命周期的金融服务网络。积极发展人力资源服务，加快建成集就业创业服务、人力资源交易、技能提升于一体的零工市场，深化“项目+人才”</w:t>
      </w:r>
      <w:r>
        <w:rPr>
          <w:rFonts w:hint="eastAsia" w:ascii="仿宋_GB2312" w:hAnsi="仿宋_GB2312" w:cs="仿宋_GB2312"/>
          <w:b w:val="0"/>
          <w:bCs w:val="0"/>
          <w:color w:val="auto"/>
          <w:sz w:val="32"/>
          <w:szCs w:val="32"/>
          <w:highlight w:val="none"/>
          <w:lang w:val="en-US" w:eastAsia="zh-CN"/>
        </w:rPr>
        <w:t>“双招双引”</w:t>
      </w:r>
      <w:r>
        <w:rPr>
          <w:rFonts w:hint="eastAsia" w:ascii="仿宋_GB2312" w:hAnsi="仿宋_GB2312" w:eastAsia="仿宋_GB2312" w:cs="仿宋_GB2312"/>
          <w:b w:val="0"/>
          <w:bCs w:val="0"/>
          <w:color w:val="auto"/>
          <w:sz w:val="32"/>
          <w:szCs w:val="32"/>
          <w:highlight w:val="none"/>
          <w:lang w:val="en-US" w:eastAsia="zh-CN"/>
        </w:rPr>
        <w:t>，强化技能培训与高层次人才引进，为工业振兴与农业现代化提供坚实人才保障。</w:t>
      </w:r>
    </w:p>
    <w:p w14:paraId="293F29BC">
      <w:pPr>
        <w:bidi w:val="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促进生活性服务业高品质发展。</w:t>
      </w:r>
      <w:r>
        <w:rPr>
          <w:rFonts w:hint="default" w:ascii="仿宋_GB2312" w:hAnsi="仿宋_GB2312" w:eastAsia="仿宋_GB2312" w:cs="仿宋_GB2312"/>
          <w:b w:val="0"/>
          <w:bCs w:val="0"/>
          <w:color w:val="auto"/>
          <w:sz w:val="32"/>
          <w:szCs w:val="32"/>
          <w:highlight w:val="none"/>
          <w:lang w:val="en-US" w:eastAsia="zh-CN"/>
        </w:rPr>
        <w:t>完善城乡社区</w:t>
      </w:r>
      <w:r>
        <w:rPr>
          <w:rFonts w:hint="eastAsia" w:ascii="仿宋_GB2312" w:hAnsi="仿宋_GB2312" w:eastAsia="仿宋_GB2312" w:cs="仿宋_GB2312"/>
          <w:b w:val="0"/>
          <w:bCs w:val="0"/>
          <w:color w:val="auto"/>
          <w:sz w:val="32"/>
          <w:szCs w:val="32"/>
          <w:highlight w:val="none"/>
          <w:lang w:val="en-US" w:eastAsia="zh-CN"/>
        </w:rPr>
        <w:t>生活性</w:t>
      </w:r>
      <w:r>
        <w:rPr>
          <w:rFonts w:hint="default" w:ascii="仿宋_GB2312" w:hAnsi="仿宋_GB2312" w:eastAsia="仿宋_GB2312" w:cs="仿宋_GB2312"/>
          <w:b w:val="0"/>
          <w:bCs w:val="0"/>
          <w:color w:val="auto"/>
          <w:sz w:val="32"/>
          <w:szCs w:val="32"/>
          <w:highlight w:val="none"/>
          <w:lang w:val="en-US" w:eastAsia="zh-CN"/>
        </w:rPr>
        <w:t>服务网络</w:t>
      </w:r>
      <w:r>
        <w:rPr>
          <w:rFonts w:hint="eastAsia" w:ascii="仿宋_GB2312" w:hAnsi="仿宋_GB2312" w:eastAsia="仿宋_GB2312" w:cs="仿宋_GB2312"/>
          <w:b w:val="0"/>
          <w:bCs w:val="0"/>
          <w:color w:val="auto"/>
          <w:sz w:val="32"/>
          <w:szCs w:val="32"/>
          <w:highlight w:val="none"/>
          <w:lang w:val="en-US" w:eastAsia="zh-CN"/>
        </w:rPr>
        <w:t>，推动生活服务便利化、多样化发展，更好满足人民群众美好生活需要。</w:t>
      </w:r>
      <w:r>
        <w:rPr>
          <w:rFonts w:hint="default" w:ascii="仿宋_GB2312" w:hAnsi="仿宋_GB2312" w:eastAsia="仿宋_GB2312" w:cs="仿宋_GB2312"/>
          <w:b w:val="0"/>
          <w:bCs w:val="0"/>
          <w:color w:val="auto"/>
          <w:sz w:val="32"/>
          <w:szCs w:val="32"/>
          <w:highlight w:val="none"/>
          <w:lang w:val="en-US" w:eastAsia="zh-CN"/>
        </w:rPr>
        <w:t>发展旅游文化产业</w:t>
      </w:r>
      <w:r>
        <w:rPr>
          <w:rFonts w:hint="eastAsia" w:ascii="仿宋_GB2312" w:hAnsi="仿宋_GB2312" w:eastAsia="仿宋_GB2312" w:cs="仿宋_GB2312"/>
          <w:b w:val="0"/>
          <w:bCs w:val="0"/>
          <w:color w:val="auto"/>
          <w:sz w:val="32"/>
          <w:szCs w:val="32"/>
          <w:highlight w:val="none"/>
          <w:lang w:val="en-US" w:eastAsia="zh-CN"/>
        </w:rPr>
        <w:t>，打造“稻花香里”“蔡氏古宅”“陈平名山”等精品旅游线路，支持炮龙、壮锦等非遗文创产业化发展，推进宾州古城历史文化街区保护修缮与传统村落活化利用，持续办好“百龙舞宾州”等品牌活动。完善健康养老服务，健全城乡养老服务体系，推动医养结合，支持开展智慧养老试点，改造提升乡镇敬老院，鼓励社会力量兴办养老服务机构。推动商贸消费升级，加快发展数字消费、绿色消费、健康消费，依托“一庙一园两街三广场”品质提升和南街历史文化街区建设，加快形成食、游、购、娱、文、体融合发展新业态，培育夜间经济、赛事经济、银发经济等消费新场景。</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443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29882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专栏7 现代服务业提质增效重点项目</w:t>
            </w:r>
          </w:p>
          <w:p w14:paraId="3F9927C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生产性服务业：</w:t>
            </w:r>
            <w:r>
              <w:rPr>
                <w:rFonts w:hint="eastAsia" w:ascii="仿宋_GB2312" w:hAnsi="仿宋_GB2312" w:eastAsia="仿宋_GB2312" w:cs="仿宋_GB2312"/>
                <w:b w:val="0"/>
                <w:bCs w:val="0"/>
                <w:color w:val="auto"/>
                <w:sz w:val="32"/>
                <w:szCs w:val="32"/>
                <w:highlight w:val="none"/>
                <w:lang w:val="en-US" w:eastAsia="zh-CN"/>
              </w:rPr>
              <w:t>宾阳县黎塘物流集散枢纽中心项目（一期）、</w:t>
            </w:r>
            <w:r>
              <w:rPr>
                <w:rFonts w:hint="eastAsia" w:ascii="仿宋_GB2312" w:hAnsi="仿宋_GB2312" w:cs="仿宋_GB2312"/>
                <w:b w:val="0"/>
                <w:bCs w:val="0"/>
                <w:color w:val="auto"/>
                <w:sz w:val="32"/>
                <w:szCs w:val="32"/>
                <w:highlight w:val="none"/>
                <w:u w:val="none"/>
                <w:lang w:val="en-US" w:eastAsia="zh-CN"/>
              </w:rPr>
              <w:t>宾阳县城南部现代物流产业园项目、</w:t>
            </w:r>
            <w:r>
              <w:rPr>
                <w:rFonts w:hint="eastAsia" w:ascii="仿宋_GB2312" w:hAnsi="仿宋_GB2312" w:eastAsia="仿宋_GB2312" w:cs="仿宋_GB2312"/>
                <w:b w:val="0"/>
                <w:bCs w:val="0"/>
                <w:color w:val="auto"/>
                <w:sz w:val="32"/>
                <w:szCs w:val="32"/>
                <w:highlight w:val="none"/>
                <w:lang w:val="en-US" w:eastAsia="zh-CN"/>
              </w:rPr>
              <w:t>和吉镇水果蔬菜冷库建设项目、新柳南高速二线宾阳西（新桥）物流园建设、宾阳县三塘物流园智慧仓库建设项目。</w:t>
            </w:r>
          </w:p>
          <w:p w14:paraId="79F00D7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生活性服务业：</w:t>
            </w:r>
            <w:r>
              <w:rPr>
                <w:rFonts w:hint="eastAsia" w:ascii="仿宋_GB2312" w:hAnsi="仿宋_GB2312" w:eastAsia="仿宋_GB2312" w:cs="仿宋_GB2312"/>
                <w:b w:val="0"/>
                <w:bCs w:val="0"/>
                <w:color w:val="auto"/>
                <w:sz w:val="32"/>
                <w:szCs w:val="32"/>
                <w:highlight w:val="none"/>
                <w:lang w:val="en-US" w:eastAsia="zh-CN"/>
              </w:rPr>
              <w:t>宾阳县古辣稻花香里旅游区（国家 AAAA 级旅游景区）提升工程（二期工程）、宾阳县陈平镇名山生态旅游区提升改造工程、宾阳县陈平名山生态旅游度假区项目、宾阳县新圩镇红色旅游集散中心项目、宾阳县旅游精品线路搭建项目、宾阳县和康老年养护中心、宾阳县万通商业街、宾阳县广源中心项目。</w:t>
            </w:r>
          </w:p>
        </w:tc>
      </w:tr>
    </w:tbl>
    <w:p w14:paraId="63D20B22">
      <w:pPr>
        <w:pStyle w:val="4"/>
        <w:keepNext/>
        <w:keepLines/>
        <w:spacing w:beforeLines="0" w:afterLines="0"/>
        <w:ind w:firstLine="0" w:firstLineChars="0"/>
        <w:jc w:val="center"/>
        <w:rPr>
          <w:rFonts w:hint="default" w:ascii="Times New Roman" w:hAnsi="Times New Roman" w:eastAsia="楷体_GB2312" w:cstheme="minorBidi"/>
          <w:color w:val="auto"/>
          <w:sz w:val="32"/>
          <w:szCs w:val="24"/>
          <w:highlight w:val="none"/>
          <w:lang w:val="en-US" w:eastAsia="zh-CN"/>
        </w:rPr>
      </w:pPr>
      <w:bookmarkStart w:id="76" w:name="_Toc22916"/>
      <w:bookmarkStart w:id="77" w:name="_Toc30728"/>
      <w:bookmarkStart w:id="78" w:name="_Toc3282"/>
      <w:r>
        <w:rPr>
          <w:rFonts w:hint="default" w:ascii="Times New Roman" w:hAnsi="Times New Roman" w:eastAsia="楷体_GB2312" w:cstheme="minorBidi"/>
          <w:color w:val="auto"/>
          <w:kern w:val="2"/>
          <w:sz w:val="32"/>
          <w:szCs w:val="24"/>
          <w:highlight w:val="none"/>
          <w:lang w:val="en-US" w:eastAsia="zh-CN" w:bidi="ar-SA"/>
        </w:rPr>
        <w:t xml:space="preserve">第四节 </w:t>
      </w:r>
      <w:r>
        <w:rPr>
          <w:rFonts w:hint="default" w:ascii="Times New Roman" w:hAnsi="Times New Roman" w:eastAsia="楷体_GB2312" w:cstheme="minorBidi"/>
          <w:color w:val="auto"/>
          <w:sz w:val="32"/>
          <w:szCs w:val="24"/>
          <w:highlight w:val="none"/>
          <w:lang w:val="en-US" w:eastAsia="zh-CN"/>
        </w:rPr>
        <w:t>加快现代特色农业发展</w:t>
      </w:r>
      <w:bookmarkEnd w:id="76"/>
      <w:bookmarkEnd w:id="77"/>
      <w:bookmarkEnd w:id="78"/>
    </w:p>
    <w:p w14:paraId="7C64974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优化农业产业体系。</w:t>
      </w:r>
      <w:r>
        <w:rPr>
          <w:rFonts w:hint="eastAsia" w:ascii="仿宋_GB2312" w:hAnsi="仿宋_GB2312" w:eastAsia="仿宋_GB2312" w:cs="仿宋_GB2312"/>
          <w:b w:val="0"/>
          <w:bCs w:val="0"/>
          <w:color w:val="auto"/>
          <w:sz w:val="32"/>
          <w:szCs w:val="32"/>
          <w:highlight w:val="none"/>
          <w:lang w:val="en-US" w:eastAsia="zh-CN"/>
        </w:rPr>
        <w:t>推动“人工智能+农业”深度融合，以智能感知、数据分析、无人机作业等技术精准赋能田间管理、环境调控、疫病防控与产品溯源，积极培育农业新质生产力。巩固提升传统优势农业，重点做强优质稻产业，大力发展富硒香米、绿色有机稻米</w:t>
      </w:r>
      <w:r>
        <w:rPr>
          <w:rFonts w:hint="eastAsia" w:ascii="仿宋_GB2312" w:hAnsi="仿宋_GB2312" w:cs="仿宋_GB2312"/>
          <w:b w:val="0"/>
          <w:bCs w:val="0"/>
          <w:color w:val="auto"/>
          <w:sz w:val="32"/>
          <w:szCs w:val="32"/>
          <w:highlight w:val="none"/>
          <w:u w:val="none"/>
          <w:lang w:val="en-US" w:eastAsia="zh-CN"/>
        </w:rPr>
        <w:t>、低糖功能</w:t>
      </w:r>
      <w:r>
        <w:rPr>
          <w:rFonts w:hint="eastAsia" w:ascii="仿宋_GB2312" w:hAnsi="仿宋_GB2312" w:cs="仿宋_GB2312"/>
          <w:b w:val="0"/>
          <w:bCs w:val="0"/>
          <w:color w:val="auto"/>
          <w:sz w:val="32"/>
          <w:szCs w:val="32"/>
          <w:highlight w:val="none"/>
          <w:u w:val="thick"/>
          <w:lang w:val="en-US" w:eastAsia="zh-CN"/>
        </w:rPr>
        <w:t>米</w:t>
      </w:r>
      <w:r>
        <w:rPr>
          <w:rFonts w:hint="eastAsia" w:ascii="仿宋_GB2312" w:hAnsi="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highlight w:val="none"/>
          <w:lang w:val="en-US" w:eastAsia="zh-CN"/>
        </w:rPr>
        <w:t>优化品种结构，提升品质与单产；稳定糖料蔗产业，推广良种良法，提高单产与糖分；壮大蔬菜产业，突出夜香花、食用菌等特色品种，建设区域性供应基地；高质量发展畜禽渔业，高标准建设规模化、智能化养殖基地，扩大蛋鸡、生猪产能，打响“宾阳鸽”品牌，推广生态健康养殖模式。大力发展中药材产业，建设标准化种植基地，延伸加工、研发、销售链条。加快发展药食同源产品、特色果蔬等产业，促进农产品多元化、高值化开发。</w:t>
      </w:r>
    </w:p>
    <w:p w14:paraId="219B9D2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提升农业产业链价值。</w:t>
      </w:r>
      <w:r>
        <w:rPr>
          <w:rFonts w:hint="eastAsia" w:ascii="仿宋_GB2312" w:hAnsi="仿宋_GB2312" w:eastAsia="仿宋_GB2312" w:cs="仿宋_GB2312"/>
          <w:b w:val="0"/>
          <w:bCs w:val="0"/>
          <w:color w:val="auto"/>
          <w:sz w:val="32"/>
          <w:szCs w:val="32"/>
          <w:highlight w:val="none"/>
          <w:lang w:val="en-US" w:eastAsia="zh-CN"/>
        </w:rPr>
        <w:t>实施农产品加工业提升行动，聚焦粮、糖、蔬、畜、药等特色产业，着力培育和引进一批产业链条长、科技含量高、带动能力强的加工龙头企业，推动农产品从初级生产向精深加工延伸。重点支持古辣香米、桂郁金、宾阳鸽等优势产品开展标准化、规模化加工，建设香米精深加工综合产业园、中医药产业园区等载体，打造从种植、加工、研发到销售的全产业链体系，提升产品附加值和产业抗风险能力。同步推动品牌化发展，系统构建以绿色食品、有机农产品和地理标志农产品为基础，以“圳品”认证与香港“正印”标准为引领的品牌矩阵，持续做强“古辣香米”“宾阳鸽”等区域公用品牌，支持农业企业申报“广西农业品牌目录”，推动“宾阳农品”走进大湾区、走向全国，不断提升农业品牌影响力和市场竞争力。</w:t>
      </w:r>
    </w:p>
    <w:p w14:paraId="0BB97FE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创新农业发展模式。</w:t>
      </w:r>
      <w:r>
        <w:rPr>
          <w:rFonts w:hint="eastAsia" w:ascii="仿宋_GB2312" w:hAnsi="仿宋_GB2312" w:eastAsia="仿宋_GB2312" w:cs="仿宋_GB2312"/>
          <w:b w:val="0"/>
          <w:bCs w:val="0"/>
          <w:color w:val="auto"/>
          <w:sz w:val="32"/>
          <w:szCs w:val="32"/>
          <w:highlight w:val="none"/>
          <w:lang w:val="en-US" w:eastAsia="zh-CN"/>
        </w:rPr>
        <w:t>坚持创新驱动与融合导向，大力发展现代设施农业。聚焦设施渔业向标准化、智能化、生态化全面转型，重点推进宾阳县马潭现代渔业产业项目建设，积极发展陆基、工厂化循环水养殖，打造2—3个智慧渔业标准基地，推动鲶鱼、大口黑鲈、黄颡鱼、淡水虾等优势品种规模化养殖，力争到“十五五”期末优势品种产量占比提升至70%，建成现代渔业健康养殖标杆区。同步做大做强高端设施农业与特色精品农业，围绕夜香花、食用菌、胡萝卜等特色品种，加快建设规模化设施蔬菜基地和工厂化生产车间，推进食用菌大棚等项目建设，促进特色果蔬产能与品质双提升。深化农村一二三产业融合，以古辣香米产业为核心，积极拓展“农业+文旅”“农业+研学”等新业态，打造稻田艺术景观、农耕研学基地等农文旅融合载体，加快建设一二三产业融合发展示范园，推动产业链延伸和价值链提升，全面提高乡村产业综合效益与竞争力。</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8D9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21D0C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eastAsia"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专栏8 特色农业发展重点项目</w:t>
            </w:r>
          </w:p>
          <w:p w14:paraId="21F51E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种植养殖项目：</w:t>
            </w:r>
            <w:r>
              <w:rPr>
                <w:rFonts w:hint="eastAsia" w:ascii="仿宋_GB2312" w:hAnsi="仿宋_GB2312" w:eastAsia="仿宋_GB2312" w:cs="仿宋_GB2312"/>
                <w:b w:val="0"/>
                <w:bCs w:val="0"/>
                <w:color w:val="auto"/>
                <w:sz w:val="32"/>
                <w:szCs w:val="32"/>
                <w:highlight w:val="none"/>
                <w:lang w:val="en-US" w:eastAsia="zh-CN"/>
              </w:rPr>
              <w:t>宾阳县新圩镇万亩水稻高产种植示范基地项目、中华镇白灵菇种植基地项目、宾阳县思陇镇祥华社区韭菜苔种植基地项目、宾阳县大桥镇石壁村委食用菌种植产业基地、宾阳县王灵镇现代渔业项目、杜仲生态无抗养殖产业综合体项目、和吉镇 “优质中华土鸡” 养殖场建设项目、皇氏宾阳马潭万头奶水牛生态牧场、广西宾阳县智慧牧场青羊（牛）产业园、大湾区智冷食谷创新基地（一期）</w:t>
            </w:r>
            <w:r>
              <w:rPr>
                <w:rFonts w:hint="eastAsia" w:ascii="仿宋_GB2312" w:hAnsi="仿宋_GB2312" w:cs="仿宋_GB2312"/>
                <w:b w:val="0"/>
                <w:bCs w:val="0"/>
                <w:color w:val="auto"/>
                <w:sz w:val="32"/>
                <w:szCs w:val="32"/>
                <w:highlight w:val="none"/>
                <w:lang w:val="en-US" w:eastAsia="zh-CN"/>
              </w:rPr>
              <w:t>。</w:t>
            </w:r>
          </w:p>
          <w:p w14:paraId="76350C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智慧农业项目：</w:t>
            </w:r>
            <w:r>
              <w:rPr>
                <w:rFonts w:hint="eastAsia" w:ascii="仿宋_GB2312" w:hAnsi="仿宋_GB2312" w:eastAsia="仿宋_GB2312" w:cs="仿宋_GB2312"/>
                <w:b w:val="0"/>
                <w:bCs w:val="0"/>
                <w:color w:val="auto"/>
                <w:sz w:val="32"/>
                <w:szCs w:val="32"/>
                <w:highlight w:val="none"/>
                <w:lang w:val="en-US" w:eastAsia="zh-CN"/>
              </w:rPr>
              <w:t>宾阳县无人机农业植保服务项目、宾阳县现代智慧农业产业综合示范项目、宾阳县高效农业及农产品供应项目。</w:t>
            </w:r>
          </w:p>
        </w:tc>
      </w:tr>
    </w:tbl>
    <w:p w14:paraId="55B17B66">
      <w:pPr>
        <w:pStyle w:val="4"/>
        <w:keepNext/>
        <w:keepLines/>
        <w:spacing w:beforeLines="0" w:afterLines="0"/>
        <w:ind w:firstLine="0" w:firstLineChars="0"/>
        <w:jc w:val="center"/>
        <w:rPr>
          <w:rFonts w:hint="default" w:ascii="Times New Roman" w:hAnsi="Times New Roman" w:eastAsia="楷体_GB2312" w:cstheme="minorBidi"/>
          <w:color w:val="auto"/>
          <w:sz w:val="32"/>
          <w:szCs w:val="24"/>
          <w:highlight w:val="none"/>
          <w:lang w:val="en-US" w:eastAsia="zh-CN"/>
        </w:rPr>
      </w:pPr>
      <w:bookmarkStart w:id="79" w:name="_Toc16375"/>
      <w:bookmarkStart w:id="80" w:name="_Toc6863"/>
      <w:bookmarkStart w:id="81" w:name="_Toc29419"/>
      <w:r>
        <w:rPr>
          <w:rFonts w:hint="default" w:ascii="Times New Roman" w:hAnsi="Times New Roman" w:eastAsia="楷体_GB2312" w:cstheme="minorBidi"/>
          <w:color w:val="auto"/>
          <w:kern w:val="2"/>
          <w:sz w:val="32"/>
          <w:szCs w:val="24"/>
          <w:highlight w:val="none"/>
          <w:lang w:val="en-US" w:eastAsia="zh-CN" w:bidi="ar-SA"/>
        </w:rPr>
        <w:t>第五节</w:t>
      </w:r>
      <w:r>
        <w:rPr>
          <w:rFonts w:hint="eastAsia" w:ascii="Times New Roman" w:hAnsi="Times New Roman" w:cstheme="minorBidi"/>
          <w:color w:val="auto"/>
          <w:kern w:val="2"/>
          <w:sz w:val="32"/>
          <w:szCs w:val="24"/>
          <w:highlight w:val="none"/>
          <w:lang w:val="en-US" w:eastAsia="zh-CN" w:bidi="ar-SA"/>
        </w:rPr>
        <w:t xml:space="preserve"> </w:t>
      </w:r>
      <w:r>
        <w:rPr>
          <w:rFonts w:hint="default" w:ascii="Times New Roman" w:hAnsi="Times New Roman" w:eastAsia="楷体_GB2312" w:cstheme="minorBidi"/>
          <w:color w:val="auto"/>
          <w:sz w:val="32"/>
          <w:szCs w:val="24"/>
          <w:highlight w:val="none"/>
          <w:lang w:val="en-US" w:eastAsia="zh-CN"/>
        </w:rPr>
        <w:t>构建现代化基础设施体系</w:t>
      </w:r>
      <w:bookmarkEnd w:id="79"/>
      <w:bookmarkEnd w:id="80"/>
      <w:bookmarkEnd w:id="81"/>
    </w:p>
    <w:p w14:paraId="053C1E5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完善综合交通运输体系。</w:t>
      </w:r>
      <w:r>
        <w:rPr>
          <w:rFonts w:hint="eastAsia" w:ascii="仿宋_GB2312" w:hAnsi="仿宋_GB2312" w:eastAsia="仿宋_GB2312" w:cs="仿宋_GB2312"/>
          <w:b w:val="0"/>
          <w:bCs w:val="0"/>
          <w:color w:val="auto"/>
          <w:sz w:val="32"/>
          <w:szCs w:val="32"/>
          <w:highlight w:val="none"/>
          <w:lang w:val="en-US" w:eastAsia="zh-CN"/>
        </w:rPr>
        <w:t>深入推进交通强县建设，构建立体化、枢纽化、智慧化的现代化综合交通运输体系，全面打通公路、铁路、水路互联互通堵点卡点。围绕提升出县出海快速客货运通道能力，加快推进南</w:t>
      </w:r>
      <w:r>
        <w:rPr>
          <w:rFonts w:hint="eastAsia" w:ascii="仿宋_GB2312" w:hAnsi="仿宋_GB2312" w:cs="仿宋_GB2312"/>
          <w:b w:val="0"/>
          <w:bCs w:val="0"/>
          <w:color w:val="auto"/>
          <w:sz w:val="32"/>
          <w:szCs w:val="32"/>
          <w:highlight w:val="none"/>
          <w:lang w:val="en-US" w:eastAsia="zh-CN"/>
        </w:rPr>
        <w:t>桂</w:t>
      </w:r>
      <w:r>
        <w:rPr>
          <w:rFonts w:hint="eastAsia" w:ascii="仿宋_GB2312" w:hAnsi="仿宋_GB2312" w:eastAsia="仿宋_GB2312" w:cs="仿宋_GB2312"/>
          <w:b w:val="0"/>
          <w:bCs w:val="0"/>
          <w:color w:val="auto"/>
          <w:sz w:val="32"/>
          <w:szCs w:val="32"/>
          <w:highlight w:val="none"/>
          <w:lang w:val="en-US" w:eastAsia="zh-CN"/>
        </w:rPr>
        <w:t>衡高铁宾阳站、</w:t>
      </w:r>
      <w:r>
        <w:rPr>
          <w:rFonts w:hint="eastAsia" w:ascii="仿宋_GB2312" w:hAnsi="仿宋_GB2312" w:cs="仿宋_GB2312"/>
          <w:b w:val="0"/>
          <w:bCs w:val="0"/>
          <w:color w:val="auto"/>
          <w:sz w:val="32"/>
          <w:szCs w:val="32"/>
          <w:highlight w:val="none"/>
          <w:lang w:val="en-US" w:eastAsia="zh-CN"/>
        </w:rPr>
        <w:t>宾阳</w:t>
      </w:r>
      <w:r>
        <w:rPr>
          <w:rFonts w:hint="eastAsia" w:ascii="仿宋_GB2312" w:hAnsi="仿宋_GB2312" w:eastAsia="仿宋_GB2312" w:cs="仿宋_GB2312"/>
          <w:b w:val="0"/>
          <w:bCs w:val="0"/>
          <w:color w:val="auto"/>
          <w:sz w:val="32"/>
          <w:szCs w:val="32"/>
          <w:highlight w:val="none"/>
          <w:lang w:val="en-US" w:eastAsia="zh-CN"/>
        </w:rPr>
        <w:t>通用机场等重大枢纽前期工作，积极推动红水河至郁江运河（宾阳至六景段）规划，强化与平陆运河江海联运体系高效衔接。持续完善县域骨干路网，重点推进G322宾阳西绕城线公路、来宾至宾阳高速公路（南宁段）、隆安丁当经武鸣双桥至宾阳陈平高速公路、五合经六景至黎塘公路等项目建设，同步推动G242昆仑关至上林公路、G358宾阳（思陇）经武鸣至隆安（那桐）公路、南宁五合经那樟至贵港三里公路（南宁段）及S309新圩镇绕城公路等路网提级改造，着力构建内外联通、绿色低碳、高效便捷的综合交通网络，增强对产业集聚区和物流枢纽的覆盖支撑，全面提升交通运输体系的运行效率、安全韧性和可持续发展能力。</w:t>
      </w:r>
    </w:p>
    <w:p w14:paraId="50BF53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推进新型能源基础设施建设。</w:t>
      </w:r>
      <w:r>
        <w:rPr>
          <w:rFonts w:hint="eastAsia" w:ascii="仿宋_GB2312" w:hAnsi="仿宋_GB2312" w:eastAsia="仿宋_GB2312" w:cs="仿宋_GB2312"/>
          <w:b w:val="0"/>
          <w:bCs w:val="0"/>
          <w:color w:val="auto"/>
          <w:sz w:val="32"/>
          <w:szCs w:val="32"/>
          <w:highlight w:val="none"/>
          <w:lang w:val="en-US" w:eastAsia="zh-CN"/>
        </w:rPr>
        <w:t>抢抓能源革命战略机遇，依托宾阳县全国农村能源革命试点县建设基础，聚焦工业与城市用能需求，加快构建清洁低碳、安全高效的新型能源体系。优先在工业园区、公共建筑及符合条件的产业集聚区科学布局分布式光伏发电项目，推动能源就近生产与消纳。重点谋划建设新型储能项目，提升电网调峰调频能力和新能源消纳水平，为晶飞光伏组件及电池片等重大产业项目提供稳定、绿色的能源保障。统筹推进新能源基础设施与城市空间规划、市政设施管理的深度融合，优化充电网络、加氢站等绿色能源补给服务网点布局，完善智能电网、微电网等配套体系。强化与上级电网公司对接，积极争取风光电储指标及政策支持，引导社会资本参与投资建设与运营，推动新能源装备制造、储能技术研发等上下游产业集聚发展。</w:t>
      </w:r>
    </w:p>
    <w:p w14:paraId="0D959D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构建现代水网体系。</w:t>
      </w:r>
      <w:r>
        <w:rPr>
          <w:rFonts w:hint="eastAsia" w:ascii="仿宋_GB2312" w:hAnsi="仿宋_GB2312" w:eastAsia="仿宋_GB2312" w:cs="仿宋_GB2312"/>
          <w:b w:val="0"/>
          <w:bCs w:val="0"/>
          <w:color w:val="auto"/>
          <w:sz w:val="32"/>
          <w:szCs w:val="32"/>
          <w:highlight w:val="none"/>
          <w:lang w:val="en-US" w:eastAsia="zh-CN"/>
        </w:rPr>
        <w:t>统筹水资源配置、水环境治理和水生态保护，构建“三横三纵</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八河连通</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安全可靠</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生态融合”的宾阳现代化水网。筑牢防洪排涝安全屏障，推进清水河、南河等流域堤防工程及中小河流综合治理，实施山洪沟治理与病险水库除险加固，提升全域防洪减灾能力。增强城乡供水保障，</w:t>
      </w:r>
      <w:r>
        <w:rPr>
          <w:rFonts w:hint="eastAsia" w:ascii="仿宋_GB2312" w:hAnsi="仿宋_GB2312" w:cs="仿宋_GB2312"/>
          <w:b w:val="0"/>
          <w:bCs w:val="0"/>
          <w:color w:val="auto"/>
          <w:sz w:val="32"/>
          <w:szCs w:val="32"/>
          <w:highlight w:val="none"/>
          <w:lang w:val="en-US" w:eastAsia="zh-CN"/>
        </w:rPr>
        <w:t>持续推动</w:t>
      </w:r>
      <w:r>
        <w:rPr>
          <w:rFonts w:hint="eastAsia" w:ascii="仿宋_GB2312" w:hAnsi="仿宋_GB2312" w:eastAsia="仿宋_GB2312" w:cs="仿宋_GB2312"/>
          <w:b w:val="0"/>
          <w:bCs w:val="0"/>
          <w:color w:val="auto"/>
          <w:sz w:val="32"/>
          <w:szCs w:val="32"/>
          <w:highlight w:val="none"/>
          <w:lang w:val="en-US" w:eastAsia="zh-CN"/>
        </w:rPr>
        <w:t>环北部湾广西水资源配置工程及迁六运河建设，加快城乡供水一体化管网二期、三期工程，推进水库扩容与应急水源建设，夯实产业发展与居民用水安全基础。完善灌溉排水体系，重点实施五化灌区续建配套与现代化改造，</w:t>
      </w:r>
      <w:r>
        <w:rPr>
          <w:rFonts w:hint="eastAsia" w:ascii="仿宋_GB2312" w:hAnsi="仿宋_GB2312" w:cs="仿宋_GB2312"/>
          <w:b w:val="0"/>
          <w:bCs w:val="0"/>
          <w:color w:val="auto"/>
          <w:sz w:val="32"/>
          <w:szCs w:val="32"/>
          <w:highlight w:val="none"/>
          <w:lang w:val="en-US" w:eastAsia="zh-CN"/>
        </w:rPr>
        <w:t>积极</w:t>
      </w:r>
      <w:r>
        <w:rPr>
          <w:rFonts w:hint="eastAsia" w:ascii="仿宋_GB2312" w:hAnsi="仿宋_GB2312" w:eastAsia="仿宋_GB2312" w:cs="仿宋_GB2312"/>
          <w:b w:val="0"/>
          <w:bCs w:val="0"/>
          <w:color w:val="auto"/>
          <w:sz w:val="32"/>
          <w:szCs w:val="32"/>
          <w:highlight w:val="none"/>
          <w:lang w:val="en-US" w:eastAsia="zh-CN"/>
        </w:rPr>
        <w:t>推进八仙岩、大桥江等中型灌区节水改造，提升农业灌溉效率。建设数字孪生水网，搭建全县智慧水利平台，完善监测感知网络，提升水资源调度、防洪预警与河湖监管的智能化水平。</w:t>
      </w:r>
    </w:p>
    <w:p w14:paraId="0556D3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完善产业园区基础设施建设。</w:t>
      </w:r>
      <w:r>
        <w:rPr>
          <w:rFonts w:hint="eastAsia" w:ascii="仿宋_GB2312" w:hAnsi="仿宋_GB2312" w:eastAsia="仿宋_GB2312" w:cs="仿宋_GB2312"/>
          <w:b w:val="0"/>
          <w:bCs w:val="0"/>
          <w:color w:val="auto"/>
          <w:sz w:val="32"/>
          <w:szCs w:val="32"/>
          <w:highlight w:val="none"/>
          <w:lang w:val="en-US" w:eastAsia="zh-CN"/>
        </w:rPr>
        <w:t>围绕县域产业空间布局，以提升园区综合承载和产业集聚功能为导向，系统推进基础设施现代化升级。重点</w:t>
      </w:r>
      <w:r>
        <w:rPr>
          <w:rFonts w:hint="eastAsia" w:ascii="仿宋_GB2312" w:hAnsi="仿宋_GB2312" w:cs="仿宋_GB2312"/>
          <w:b w:val="0"/>
          <w:bCs w:val="0"/>
          <w:strike w:val="0"/>
          <w:dstrike w:val="0"/>
          <w:color w:val="auto"/>
          <w:sz w:val="32"/>
          <w:szCs w:val="32"/>
          <w:highlight w:val="none"/>
          <w:u w:val="none"/>
          <w:lang w:val="en-US" w:eastAsia="zh-CN"/>
        </w:rPr>
        <w:t>规划建设宾州产业园的西方片区、南片区等园中园及</w:t>
      </w:r>
      <w:r>
        <w:rPr>
          <w:rFonts w:hint="eastAsia" w:ascii="仿宋_GB2312" w:hAnsi="仿宋_GB2312" w:eastAsia="仿宋_GB2312" w:cs="仿宋_GB2312"/>
          <w:b w:val="0"/>
          <w:bCs w:val="0"/>
          <w:color w:val="auto"/>
          <w:sz w:val="32"/>
          <w:szCs w:val="32"/>
          <w:highlight w:val="none"/>
          <w:lang w:val="en-US" w:eastAsia="zh-CN"/>
        </w:rPr>
        <w:t>粤桂黔滇高铁经济带合作试验区广西园（南宁分园）、</w:t>
      </w:r>
      <w:r>
        <w:rPr>
          <w:rFonts w:hint="eastAsia" w:ascii="仿宋_GB2312" w:hAnsi="仿宋_GB2312" w:cs="仿宋_GB2312"/>
          <w:b w:val="0"/>
          <w:bCs w:val="0"/>
          <w:color w:val="auto"/>
          <w:sz w:val="32"/>
          <w:szCs w:val="32"/>
          <w:highlight w:val="none"/>
          <w:lang w:val="en-US" w:eastAsia="zh-CN"/>
        </w:rPr>
        <w:t>宾阳</w:t>
      </w:r>
      <w:r>
        <w:rPr>
          <w:rFonts w:hint="eastAsia" w:ascii="仿宋_GB2312" w:hAnsi="仿宋_GB2312" w:eastAsia="仿宋_GB2312" w:cs="仿宋_GB2312"/>
          <w:b w:val="0"/>
          <w:bCs w:val="0"/>
          <w:color w:val="auto"/>
          <w:sz w:val="32"/>
          <w:szCs w:val="32"/>
          <w:highlight w:val="none"/>
          <w:lang w:val="en-US" w:eastAsia="zh-CN"/>
        </w:rPr>
        <w:t>一二三产业融合发展示范园等重大平台的配套建设，加快实施园区骨干路网联通、电网智能化改造、供水系统扩容及智慧水务管理工程。同步高标准推进集中式污水处理设施、标准化厂房、冷链物流仓储中心建设，并规划布局中小企业公共服务平台、共性技术研发中心等生产性服务设施，构建全链条产业生态支撑体系。通过深化工业用地“标准地”供应改革，有效盘活低效闲置土地资源，保障工业用地储备规模与供给效率，引导资金、技术等要素资源向园区高效集聚。</w:t>
      </w:r>
    </w:p>
    <w:bookmarkEnd w:id="60"/>
    <w:p w14:paraId="16302868">
      <w:pPr>
        <w:pageBreakBefore w:val="0"/>
        <w:kinsoku/>
        <w:wordWrap/>
        <w:overflowPunct/>
        <w:topLinePunct w:val="0"/>
        <w:autoSpaceDE/>
        <w:autoSpaceDN/>
        <w:bidi w:val="0"/>
        <w:adjustRightInd/>
        <w:snapToGrid/>
        <w:spacing w:line="560" w:lineRule="exact"/>
        <w:textAlignment w:val="auto"/>
        <w:rPr>
          <w:rFonts w:hint="eastAsia"/>
          <w:color w:val="auto"/>
          <w:sz w:val="32"/>
          <w:szCs w:val="32"/>
          <w:highlight w:val="none"/>
          <w:lang w:val="en-US" w:eastAsia="zh-CN"/>
        </w:rPr>
      </w:pPr>
    </w:p>
    <w:p w14:paraId="234BDD98">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bookmarkStart w:id="82" w:name="_Toc23967"/>
      <w:bookmarkStart w:id="83" w:name="_Toc92"/>
    </w:p>
    <w:p w14:paraId="10F4CF71">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sz w:val="32"/>
          <w:szCs w:val="32"/>
          <w:highlight w:val="none"/>
          <w:lang w:val="en-US" w:eastAsia="zh-CN"/>
        </w:rPr>
      </w:pPr>
      <w:bookmarkStart w:id="84" w:name="_Toc30173"/>
      <w:bookmarkStart w:id="85" w:name="_Toc22848"/>
      <w:bookmarkStart w:id="86" w:name="_Toc17851"/>
      <w:bookmarkStart w:id="87" w:name="_Toc16813"/>
      <w:r>
        <w:rPr>
          <w:rFonts w:hint="eastAsia" w:cs="Times New Roman"/>
          <w:color w:val="auto"/>
          <w:sz w:val="32"/>
          <w:szCs w:val="32"/>
          <w:highlight w:val="none"/>
          <w:lang w:val="en-US" w:eastAsia="zh-CN"/>
        </w:rPr>
        <w:t xml:space="preserve">第四章 </w:t>
      </w:r>
      <w:bookmarkEnd w:id="82"/>
      <w:r>
        <w:rPr>
          <w:rFonts w:hint="default" w:eastAsia="黑体" w:asciiTheme="minorAscii" w:hAnsiTheme="minorAscii"/>
          <w:b w:val="0"/>
          <w:bCs w:val="0"/>
          <w:color w:val="auto"/>
          <w:sz w:val="32"/>
          <w:szCs w:val="32"/>
          <w:highlight w:val="none"/>
          <w:lang w:val="en-US" w:eastAsia="zh-CN"/>
        </w:rPr>
        <w:t>强化科技创新驱动，赋能发展新质生产力</w:t>
      </w:r>
      <w:bookmarkEnd w:id="83"/>
      <w:bookmarkEnd w:id="84"/>
      <w:bookmarkEnd w:id="85"/>
      <w:bookmarkEnd w:id="86"/>
      <w:bookmarkEnd w:id="87"/>
    </w:p>
    <w:p w14:paraId="74528804">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default" w:cs="Times New Roman"/>
          <w:color w:val="auto"/>
          <w:sz w:val="32"/>
          <w:szCs w:val="32"/>
          <w:highlight w:val="none"/>
          <w:lang w:val="en-US" w:eastAsia="zh-CN"/>
        </w:rPr>
      </w:pPr>
      <w:bookmarkStart w:id="88" w:name="_Toc13003"/>
      <w:bookmarkStart w:id="89" w:name="_Toc5697"/>
      <w:r>
        <w:rPr>
          <w:rFonts w:hint="default" w:ascii="仿宋_GB2312" w:hAnsi="仿宋_GB2312" w:eastAsia="仿宋_GB2312" w:cs="仿宋_GB2312"/>
          <w:b w:val="0"/>
          <w:bCs w:val="0"/>
          <w:color w:val="auto"/>
          <w:sz w:val="32"/>
          <w:szCs w:val="32"/>
          <w:highlight w:val="none"/>
          <w:lang w:val="en-US" w:eastAsia="zh-CN"/>
        </w:rPr>
        <w:t>科技创新是</w:t>
      </w:r>
      <w:r>
        <w:rPr>
          <w:rFonts w:hint="eastAsia" w:ascii="仿宋_GB2312" w:hAnsi="仿宋_GB2312" w:eastAsia="仿宋_GB2312" w:cs="仿宋_GB2312"/>
          <w:b w:val="0"/>
          <w:bCs w:val="0"/>
          <w:color w:val="auto"/>
          <w:sz w:val="32"/>
          <w:szCs w:val="32"/>
          <w:highlight w:val="none"/>
          <w:lang w:val="en-US" w:eastAsia="zh-CN"/>
        </w:rPr>
        <w:t>宾阳县</w:t>
      </w:r>
      <w:r>
        <w:rPr>
          <w:rFonts w:hint="default" w:ascii="仿宋_GB2312" w:hAnsi="仿宋_GB2312" w:eastAsia="仿宋_GB2312" w:cs="仿宋_GB2312"/>
          <w:b w:val="0"/>
          <w:bCs w:val="0"/>
          <w:color w:val="auto"/>
          <w:sz w:val="32"/>
          <w:szCs w:val="32"/>
          <w:highlight w:val="none"/>
          <w:lang w:val="en-US" w:eastAsia="zh-CN"/>
        </w:rPr>
        <w:t>塑造发展新动能的核心支撑。必须坚持创新在现代化建设全局中的核心地位，以深化科技与产业融合为主线，系统推进人工智能赋能、教育科技人才一体发展</w:t>
      </w:r>
      <w:r>
        <w:rPr>
          <w:rFonts w:hint="eastAsia" w:ascii="仿宋_GB2312" w:hAnsi="仿宋_GB2312" w:eastAsia="仿宋_GB2312" w:cs="仿宋_GB2312"/>
          <w:b w:val="0"/>
          <w:bCs w:val="0"/>
          <w:color w:val="auto"/>
          <w:sz w:val="32"/>
          <w:szCs w:val="32"/>
          <w:highlight w:val="none"/>
          <w:lang w:val="en-US" w:eastAsia="zh-CN"/>
        </w:rPr>
        <w:t>，</w:t>
      </w:r>
      <w:r>
        <w:rPr>
          <w:rFonts w:hint="default" w:ascii="仿宋_GB2312" w:hAnsi="仿宋_GB2312" w:eastAsia="仿宋_GB2312" w:cs="仿宋_GB2312"/>
          <w:b w:val="0"/>
          <w:bCs w:val="0"/>
          <w:color w:val="auto"/>
          <w:sz w:val="32"/>
          <w:szCs w:val="32"/>
          <w:highlight w:val="none"/>
          <w:lang w:val="en-US" w:eastAsia="zh-CN"/>
        </w:rPr>
        <w:t>全面增强县域自主创新能力与成果转化效能，为培育新质生产力、推动宾阳高质量发展注入强劲动力</w:t>
      </w:r>
      <w:r>
        <w:rPr>
          <w:rFonts w:hint="eastAsia" w:ascii="仿宋_GB2312" w:hAnsi="仿宋_GB2312" w:eastAsia="仿宋_GB2312" w:cs="仿宋_GB2312"/>
          <w:b w:val="0"/>
          <w:bCs w:val="0"/>
          <w:color w:val="auto"/>
          <w:sz w:val="32"/>
          <w:szCs w:val="32"/>
          <w:highlight w:val="none"/>
          <w:lang w:val="en-US" w:eastAsia="zh-CN"/>
        </w:rPr>
        <w:t>。</w:t>
      </w:r>
    </w:p>
    <w:p w14:paraId="4BB0FA00">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90" w:name="_Toc26949"/>
      <w:bookmarkStart w:id="91" w:name="_Toc12740"/>
      <w:bookmarkStart w:id="92" w:name="_Toc2792"/>
      <w:r>
        <w:rPr>
          <w:rFonts w:hint="eastAsia" w:cs="Times New Roman"/>
          <w:color w:val="auto"/>
          <w:sz w:val="32"/>
          <w:szCs w:val="32"/>
          <w:highlight w:val="none"/>
          <w:lang w:val="en-US" w:eastAsia="zh-CN"/>
        </w:rPr>
        <w:t xml:space="preserve">第一节 </w:t>
      </w:r>
      <w:bookmarkEnd w:id="88"/>
      <w:r>
        <w:rPr>
          <w:rFonts w:hint="default" w:ascii="仿宋_GB2312" w:hAnsi="仿宋_GB2312" w:eastAsia="仿宋_GB2312" w:cs="仿宋_GB2312"/>
          <w:color w:val="auto"/>
          <w:sz w:val="32"/>
          <w:szCs w:val="32"/>
          <w:highlight w:val="none"/>
          <w:lang w:val="en-US" w:eastAsia="zh-CN"/>
        </w:rPr>
        <w:t>深化科技创新与产业创新融合</w:t>
      </w:r>
      <w:bookmarkEnd w:id="90"/>
      <w:bookmarkEnd w:id="91"/>
      <w:bookmarkEnd w:id="92"/>
    </w:p>
    <w:p w14:paraId="11B67A3C">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构建产学研用协同创新体系。</w:t>
      </w:r>
      <w:r>
        <w:rPr>
          <w:rFonts w:hint="eastAsia" w:ascii="仿宋_GB2312" w:hAnsi="仿宋_GB2312" w:eastAsia="仿宋_GB2312" w:cs="仿宋_GB2312"/>
          <w:b w:val="0"/>
          <w:bCs w:val="0"/>
          <w:color w:val="auto"/>
          <w:sz w:val="32"/>
          <w:szCs w:val="32"/>
          <w:highlight w:val="none"/>
          <w:lang w:val="en-US" w:eastAsia="zh-CN"/>
        </w:rPr>
        <w:t>建立并动态更新县级产业技术需求清单，围绕农副产品及食品加工、新型建材、新能源新材料等县域主导产业，着力构建“企业为主体、市场为导向、产学研用深度融合”的创新生态。重点引导南宁浮法玻璃、华控铝铜、晶飞能源等龙头企业，联合华南农业大学、广西大学等高校及科研机构，共建产业创新联合体或新型研发机构，深化与“古辣香米研究院”等现有平台协同，推动创新链与产业链精准对接。持续加大对科技创新的投入，稳定落实研发费用加计扣除等普惠性政策，做好“千企技改”项目服务工作，激励企业普遍建设技术中心、工程实验室等研发载体。滚动实施市县级科技计划项目，聚焦光伏组件、铝铜新材料、智能装备等细分领域组织关键技术攻关，促进研发活动与产业需求紧密结合，加速技术突破与集成应用，为核心产业升级提供持续技术支撑。</w:t>
      </w:r>
    </w:p>
    <w:p w14:paraId="7C670701">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强化企业创新主体地位。</w:t>
      </w:r>
      <w:r>
        <w:rPr>
          <w:rFonts w:hint="eastAsia" w:ascii="仿宋_GB2312" w:hAnsi="仿宋_GB2312" w:eastAsia="仿宋_GB2312" w:cs="仿宋_GB2312"/>
          <w:b w:val="0"/>
          <w:bCs w:val="0"/>
          <w:color w:val="auto"/>
          <w:sz w:val="32"/>
          <w:szCs w:val="32"/>
          <w:highlight w:val="none"/>
          <w:lang w:val="en-US" w:eastAsia="zh-CN"/>
        </w:rPr>
        <w:t>建立健全覆盖“科技型中小企业—高新技术企业—瞪羚企业—科技领军企业”的全生命周期梯次培育体系，依托宾阳县新质生产力创新基地等平台建设动态企业创新库。通过政策引导、资源对接和创新服务，全力培育专精特新企业，不断夯实企业科技创新基础。强化企业在创新决策、研发投入与科研组织中的主导作用，推动规模以上企业普遍设立首席技术官（CTO），支持行业骨干企业牵头建设自治区级、市级工程技术研究中心等高能级研发平台。通过全面落实高新技术企业税收优惠、用好市县联动产业发展基金等政策工具，有效引导创新要素向企业集聚，激发内生创新动力，夯实产业高质量发展的微观基础。力争“十五五”期末高新技术企业保有量突破35家，瞪羚企业达3家以上。</w:t>
      </w:r>
    </w:p>
    <w:p w14:paraId="632B45BF">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left"/>
        <w:textAlignment w:val="auto"/>
        <w:outlineLvl w:val="9"/>
        <w:rPr>
          <w:rFonts w:hint="eastAsia"/>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促进科技创新成果转化。</w:t>
      </w:r>
      <w:r>
        <w:rPr>
          <w:rFonts w:hint="eastAsia" w:ascii="仿宋_GB2312" w:hAnsi="仿宋_GB2312" w:eastAsia="仿宋_GB2312" w:cs="仿宋_GB2312"/>
          <w:b w:val="0"/>
          <w:bCs w:val="0"/>
          <w:color w:val="auto"/>
          <w:sz w:val="32"/>
          <w:szCs w:val="32"/>
          <w:highlight w:val="none"/>
          <w:lang w:val="en-US" w:eastAsia="zh-CN"/>
        </w:rPr>
        <w:t>依托</w:t>
      </w:r>
      <w:r>
        <w:rPr>
          <w:rFonts w:hint="eastAsia" w:ascii="仿宋_GB2312" w:hAnsi="仿宋_GB2312" w:cs="仿宋_GB2312"/>
          <w:b w:val="0"/>
          <w:bCs w:val="0"/>
          <w:color w:val="auto"/>
          <w:sz w:val="32"/>
          <w:szCs w:val="32"/>
          <w:highlight w:val="none"/>
          <w:lang w:val="en-US" w:eastAsia="zh-CN"/>
        </w:rPr>
        <w:t>宾阳县</w:t>
      </w:r>
      <w:r>
        <w:rPr>
          <w:rFonts w:hint="eastAsia" w:ascii="仿宋_GB2312" w:hAnsi="仿宋_GB2312" w:eastAsia="仿宋_GB2312" w:cs="仿宋_GB2312"/>
          <w:b w:val="0"/>
          <w:bCs w:val="0"/>
          <w:color w:val="auto"/>
          <w:sz w:val="32"/>
          <w:szCs w:val="32"/>
          <w:highlight w:val="none"/>
          <w:lang w:val="en-US" w:eastAsia="zh-CN"/>
        </w:rPr>
        <w:t>新质生产力创新基地，打造集技术评估、中试熟化、企业孵化于一体的综合性科技成果转化平台。面向农产品精深加工、新能源汽车零配件、铝铜新材料等重点产业链，实施“企业出题、科研院所解题”的“双向揭榜”机制，畅通需求与供给对接渠道。积极承接和引入区内外新能源光伏、生物医药、智能装备等领域的成熟科技成果，在黎塘工业园区、宾州电子信息产业园等载体进行本地化转化与产业化落地。同步完善技术转移服务体系，加强成果评价与知识产权运营，设立成果转化专项引导资金，定期举办产学研对接与路演活动，打通从实验室成果到规模化生产的关键路径，全面提升创新成果的经济贡献与产业附加值。</w:t>
      </w:r>
    </w:p>
    <w:p w14:paraId="0FD61BA5">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eastAsia" w:cs="Times New Roman"/>
          <w:color w:val="auto"/>
          <w:sz w:val="32"/>
          <w:szCs w:val="32"/>
          <w:highlight w:val="none"/>
          <w:lang w:val="en-US" w:eastAsia="zh-CN"/>
        </w:rPr>
      </w:pPr>
      <w:bookmarkStart w:id="93" w:name="_Toc628"/>
      <w:bookmarkStart w:id="94" w:name="_Toc3604"/>
      <w:bookmarkStart w:id="95" w:name="_Toc10851"/>
      <w:bookmarkStart w:id="96" w:name="_Toc12752"/>
      <w:bookmarkStart w:id="97" w:name="_Toc22859"/>
      <w:r>
        <w:rPr>
          <w:rFonts w:hint="eastAsia" w:cs="Times New Roman"/>
          <w:color w:val="auto"/>
          <w:sz w:val="32"/>
          <w:szCs w:val="32"/>
          <w:highlight w:val="none"/>
          <w:lang w:val="en-US" w:eastAsia="zh-CN"/>
        </w:rPr>
        <w:t xml:space="preserve">第二节 </w:t>
      </w:r>
      <w:bookmarkEnd w:id="93"/>
      <w:bookmarkEnd w:id="94"/>
      <w:r>
        <w:rPr>
          <w:rFonts w:hint="eastAsia" w:cs="Times New Roman"/>
          <w:color w:val="auto"/>
          <w:sz w:val="32"/>
          <w:szCs w:val="32"/>
          <w:highlight w:val="none"/>
          <w:lang w:val="en-US" w:eastAsia="zh-CN"/>
        </w:rPr>
        <w:t>大力发展人工智能融合应用</w:t>
      </w:r>
      <w:bookmarkEnd w:id="95"/>
      <w:bookmarkEnd w:id="96"/>
      <w:bookmarkEnd w:id="97"/>
    </w:p>
    <w:p w14:paraId="1B0E3942">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推进数字宾阳建设。</w:t>
      </w:r>
      <w:r>
        <w:rPr>
          <w:rFonts w:hint="eastAsia" w:ascii="仿宋_GB2312" w:hAnsi="仿宋_GB2312" w:eastAsia="仿宋_GB2312" w:cs="仿宋_GB2312"/>
          <w:b w:val="0"/>
          <w:bCs w:val="0"/>
          <w:color w:val="auto"/>
          <w:sz w:val="32"/>
          <w:szCs w:val="32"/>
          <w:highlight w:val="none"/>
          <w:lang w:val="en-US" w:eastAsia="zh-CN"/>
        </w:rPr>
        <w:t>强化数字基础设施建设，推动网络基础设施升级，合理布局算力基础设施，逐步弥合城乡数字鸿沟。构建以数据要素为驱动、与实体经济深度融合的数字产业生态。围绕县域特色产业，建设高质量行业数据集，培育数据标注、治理、分析等服务企业，促进数字产业集群化发展。提升数字政府治理效能，整合城市管理、应急指挥、公共安全等多领域数据与业务，提升城市治理科学化、精细化、智能化水平。扩大数字民生应用，推动公共服务优质共享，推广智慧校园与人工智能辅助教学，促进城乡教育均衡。升级县域医共体信息平台，完善电子健康档案，推广远程诊疗。深入实施数字乡村行动，以数字化赋能乡村产业、治理与服务，构建便捷高效、触手可及的数字化生活新生态。</w:t>
      </w:r>
    </w:p>
    <w:p w14:paraId="100558AE">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拓展“人工智能+”应用场景。</w:t>
      </w:r>
      <w:r>
        <w:rPr>
          <w:rFonts w:hint="eastAsia" w:ascii="仿宋_GB2312" w:hAnsi="仿宋_GB2312" w:eastAsia="仿宋_GB2312" w:cs="仿宋_GB2312"/>
          <w:b w:val="0"/>
          <w:bCs w:val="0"/>
          <w:color w:val="auto"/>
          <w:sz w:val="32"/>
          <w:szCs w:val="32"/>
          <w:highlight w:val="none"/>
          <w:u w:val="none" w:color="auto"/>
          <w:lang w:val="en-US" w:eastAsia="zh-CN"/>
        </w:rPr>
        <w:t>实施人工智能“十进”行动，推动人工智能应用场景“进街道、进社区、进家庭、进机关、进学校、进医院、进商场、进景区、进园区、进企业”。</w:t>
      </w:r>
      <w:r>
        <w:rPr>
          <w:rFonts w:hint="eastAsia" w:ascii="仿宋_GB2312" w:hAnsi="仿宋_GB2312" w:eastAsia="仿宋_GB2312" w:cs="仿宋_GB2312"/>
          <w:b w:val="0"/>
          <w:bCs w:val="0"/>
          <w:color w:val="auto"/>
          <w:sz w:val="32"/>
          <w:szCs w:val="32"/>
          <w:highlight w:val="none"/>
          <w:lang w:val="en-US" w:eastAsia="zh-CN"/>
        </w:rPr>
        <w:t>以场景需求为牵引，推动人工智能在关键产业领域的深度融合与示范应用。推动人工智能与先进制造业深度融合，推广智能生产线和数字化车间建设，因地制宜实施“人工智能+机器人”项目，重点发展机器人本体制造，积极推动焊接、喷涂、除锈、清洗、高空作业等工艺机器人的应用集成与工作站建设。建设“人工智能+零碳园区”，依托人工智能技术优化宾阳未来零碳产业园的能源配置与调度，构建智慧高效的低碳管理系统，实现对能源消耗和碳排放的精准监控与优化，助力产业绿色低碳转型。推进“人工智能+现代农业”应用，建设智慧农田管理系统和农产品质量安全溯源平台，大规模推广病虫害智能监测预警、智能精准灌溉、农业无人机作业等技术和装备，提升农业生产效率和精细化管理能力。</w:t>
      </w:r>
    </w:p>
    <w:p w14:paraId="5E320E2A">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构建和谐人工智能发展生态。</w:t>
      </w:r>
      <w:r>
        <w:rPr>
          <w:rFonts w:hint="eastAsia" w:ascii="仿宋_GB2312" w:hAnsi="仿宋_GB2312" w:eastAsia="仿宋_GB2312" w:cs="仿宋_GB2312"/>
          <w:b w:val="0"/>
          <w:bCs w:val="0"/>
          <w:color w:val="auto"/>
          <w:sz w:val="32"/>
          <w:szCs w:val="32"/>
          <w:highlight w:val="none"/>
          <w:lang w:val="en-US" w:eastAsia="zh-CN"/>
        </w:rPr>
        <w:t>围绕强化平台与数据能力建设，为人工智能融合应用提供可持续的公共服务与生态支持。积极对接中国—东盟人工智能创新合作中心等区域高端平台，支持建设面向宾阳产业实际需求的公共技术服务平台，为企业提供技术验证、成果转化、共性技术攻关等服务。同步强化数据资源基础能力，推进工业、农业、交通、水务、政务等领域数据资源的系统性采集、整合与标准化治理，在保障安全可控的前提下，有序推动公共数据与社会数据融合共享，建设行业数据资源库，为人工智能模型训练与场景创新提供高质量数据要素支撑。打造开放协同的数据应用生态，促进人工智能技术研发、产业孵化与场景落地良性互动。</w:t>
      </w:r>
    </w:p>
    <w:p w14:paraId="41052AF1">
      <w:pPr>
        <w:keepNext w:val="0"/>
        <w:keepLines w:val="0"/>
        <w:pageBreakBefore w:val="0"/>
        <w:numPr>
          <w:ilvl w:val="0"/>
          <w:numId w:val="0"/>
        </w:numPr>
        <w:kinsoku/>
        <w:wordWrap/>
        <w:overflowPunct/>
        <w:topLinePunct w:val="0"/>
        <w:autoSpaceDE/>
        <w:autoSpaceDN/>
        <w:bidi w:val="0"/>
        <w:adjustRightInd/>
        <w:snapToGrid/>
        <w:spacing w:line="560" w:lineRule="exact"/>
        <w:ind w:firstLine="643"/>
        <w:textAlignment w:val="auto"/>
        <w:outlineLvl w:val="9"/>
        <w:rPr>
          <w:rFonts w:hint="default"/>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推动企业开展“智改数转”行动。</w:t>
      </w:r>
      <w:r>
        <w:rPr>
          <w:rFonts w:hint="eastAsia" w:ascii="仿宋_GB2312" w:hAnsi="仿宋_GB2312" w:eastAsia="仿宋_GB2312" w:cs="仿宋_GB2312"/>
          <w:b w:val="0"/>
          <w:bCs w:val="0"/>
          <w:color w:val="auto"/>
          <w:sz w:val="32"/>
          <w:szCs w:val="32"/>
          <w:highlight w:val="none"/>
          <w:lang w:val="en-US" w:eastAsia="zh-CN"/>
        </w:rPr>
        <w:t>立足县域产业实际，以智能制造为主攻方向，支持制造业企业利用人工智能技术对研发、生产、管理、服务等全流程实施智能化改造，推广智能质检、设备预测性维护、能耗智能管控等轻量化、易部署的数字化解决方案。引导电子信息、新型建材、农产品加工等重点行业率先开展数字化场景应用，推动人工智能技术与产线装备、管理系统深度融合。鼓励企业建设智能工厂和数字化车间，实现从单点智能应用向研发设计协同、生产调度优化、供应链智能管控等全链条协同演进。通过政策引导、标杆示范和产学研合作，支持企业实施设备换芯、生产换线、机器换人，逐步完成生产流程的数字化重构与全链条智能化升级，全面提升生产效率和产品质量。</w:t>
      </w:r>
    </w:p>
    <w:p w14:paraId="72E1C6E1">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98" w:name="_Toc11897"/>
      <w:bookmarkStart w:id="99" w:name="_Toc19215"/>
      <w:bookmarkStart w:id="100" w:name="_Toc26523"/>
      <w:bookmarkStart w:id="101" w:name="_Toc5295"/>
      <w:bookmarkStart w:id="102" w:name="_Toc7783"/>
      <w:r>
        <w:rPr>
          <w:rFonts w:hint="eastAsia"/>
          <w:color w:val="auto"/>
          <w:highlight w:val="none"/>
          <w:lang w:val="en-US" w:eastAsia="zh-CN"/>
        </w:rPr>
        <w:t xml:space="preserve">第三节 </w:t>
      </w:r>
      <w:bookmarkEnd w:id="98"/>
      <w:bookmarkEnd w:id="99"/>
      <w:r>
        <w:rPr>
          <w:rFonts w:hint="eastAsia"/>
          <w:color w:val="auto"/>
          <w:highlight w:val="none"/>
          <w:lang w:val="en-US" w:eastAsia="zh-CN"/>
        </w:rPr>
        <w:t>一体推进教育科技人才发展</w:t>
      </w:r>
      <w:bookmarkEnd w:id="100"/>
      <w:bookmarkEnd w:id="101"/>
      <w:bookmarkEnd w:id="102"/>
    </w:p>
    <w:p w14:paraId="6277D318">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实施更加积极开放的人才政策。</w:t>
      </w:r>
      <w:r>
        <w:rPr>
          <w:rFonts w:hint="eastAsia" w:ascii="仿宋_GB2312" w:hAnsi="仿宋_GB2312" w:eastAsia="仿宋_GB2312" w:cs="仿宋_GB2312"/>
          <w:b w:val="0"/>
          <w:bCs w:val="0"/>
          <w:color w:val="auto"/>
          <w:sz w:val="32"/>
          <w:szCs w:val="32"/>
          <w:highlight w:val="none"/>
          <w:lang w:val="en-US" w:eastAsia="zh-CN"/>
        </w:rPr>
        <w:t>聚焦产业高质量发展核心需求，全力构建以精准引进为导向的人才集聚新机制。以农副产品及食品加工、新型建材、智能装备制造等战略性产业为牵引，靶向引进产业急需的“高精尖特”人才和创新团队。创新“人才飞地”、柔性引才等模式，支持</w:t>
      </w:r>
      <w:r>
        <w:rPr>
          <w:rFonts w:hint="eastAsia" w:ascii="仿宋_GB2312" w:hAnsi="仿宋_GB2312" w:cs="仿宋_GB2312"/>
          <w:b w:val="0"/>
          <w:bCs w:val="0"/>
          <w:color w:val="auto"/>
          <w:sz w:val="32"/>
          <w:szCs w:val="32"/>
          <w:highlight w:val="none"/>
          <w:lang w:val="en-US" w:eastAsia="zh-CN"/>
        </w:rPr>
        <w:t>和鼓励</w:t>
      </w:r>
      <w:r>
        <w:rPr>
          <w:rFonts w:hint="eastAsia" w:ascii="仿宋_GB2312" w:hAnsi="仿宋_GB2312" w:eastAsia="仿宋_GB2312" w:cs="仿宋_GB2312"/>
          <w:b w:val="0"/>
          <w:bCs w:val="0"/>
          <w:color w:val="auto"/>
          <w:sz w:val="32"/>
          <w:szCs w:val="32"/>
          <w:highlight w:val="none"/>
          <w:lang w:val="en-US" w:eastAsia="zh-CN"/>
        </w:rPr>
        <w:t>企业在粤港澳大湾区、长三角等创新高地设立研发机构，依托中国—东盟人工智能创新合作中心等区域平台，深化“研发在外地、转化在宾阳”的协同创新。强化政策牵引与平台吸附，落实市县联动机制，积极申报南宁市“邕江计划”等人才项目，推动高层次人才与本地企业共建创新平台。优化</w:t>
      </w:r>
      <w:r>
        <w:rPr>
          <w:rFonts w:hint="eastAsia" w:ascii="仿宋_GB2312" w:hAnsi="仿宋_GB2312" w:cs="仿宋_GB2312"/>
          <w:b w:val="0"/>
          <w:bCs w:val="0"/>
          <w:color w:val="auto"/>
          <w:sz w:val="32"/>
          <w:szCs w:val="32"/>
          <w:highlight w:val="none"/>
          <w:lang w:val="en-US" w:eastAsia="zh-CN"/>
        </w:rPr>
        <w:t>人才</w:t>
      </w:r>
      <w:r>
        <w:rPr>
          <w:rFonts w:hint="eastAsia" w:ascii="仿宋_GB2312" w:hAnsi="仿宋_GB2312" w:eastAsia="仿宋_GB2312" w:cs="仿宋_GB2312"/>
          <w:b w:val="0"/>
          <w:bCs w:val="0"/>
          <w:color w:val="auto"/>
          <w:sz w:val="32"/>
          <w:szCs w:val="32"/>
          <w:highlight w:val="none"/>
          <w:lang w:val="en-US" w:eastAsia="zh-CN"/>
        </w:rPr>
        <w:t>招引服务，对带技术、带项目、带资金落户的顶尖人才（团队）实行“一事一议”综合支持。持续兑现人才安家补贴等优惠政策，构建“以产聚才、以才兴产”的良性循环。</w:t>
      </w:r>
    </w:p>
    <w:p w14:paraId="45220BDA">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深化产教融合与本土人才培养。</w:t>
      </w:r>
      <w:r>
        <w:rPr>
          <w:rFonts w:hint="eastAsia" w:ascii="仿宋_GB2312" w:hAnsi="仿宋_GB2312" w:eastAsia="仿宋_GB2312" w:cs="仿宋_GB2312"/>
          <w:b w:val="0"/>
          <w:bCs w:val="0"/>
          <w:color w:val="auto"/>
          <w:sz w:val="32"/>
          <w:szCs w:val="32"/>
          <w:highlight w:val="none"/>
          <w:lang w:val="en-US" w:eastAsia="zh-CN"/>
        </w:rPr>
        <w:t>建立政府引导、校企双主体育人的长效协作机制，紧密对接区域重点产业链发展需求。围绕新能源新材料、农副产品及食品精深加工、先进装备制造等县域主导及新兴产业，主动与区内外高校、科研机构及龙头企业共建产业学院、实习实训基地与技能人才培训平台。推动县职业技术学校与广西交通职业技术学院等院校深化合作，重点共建无人机驾驶、新能源汽车、机器人焊接等实训基地。依托多弗航空产业园等重大项目，开展“订单式”培养和“现代学徒制”试点。强化实践导向，鼓励企业工程技术人员、技能大师入校授课，组织学生深入企业开展项目实践与顶岗实习。支持在县职业技术学校建设集就业服务、技能鉴定、创业孵化功能于一体的县级高水平专业化实训中心，培育与产业发展适配度高、留得住、用得上的本土技术技能人才队伍。</w:t>
      </w:r>
    </w:p>
    <w:p w14:paraId="5AE2DC90">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cs="Times New Roman"/>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完善人才激励机制与服务保障。</w:t>
      </w:r>
      <w:r>
        <w:rPr>
          <w:rFonts w:hint="eastAsia" w:ascii="仿宋_GB2312" w:hAnsi="仿宋_GB2312" w:eastAsia="仿宋_GB2312" w:cs="仿宋_GB2312"/>
          <w:b w:val="0"/>
          <w:bCs w:val="0"/>
          <w:color w:val="auto"/>
          <w:sz w:val="32"/>
          <w:szCs w:val="32"/>
          <w:highlight w:val="none"/>
          <w:lang w:val="en-US" w:eastAsia="zh-CN"/>
        </w:rPr>
        <w:t>坚持以激励相容为导向，全面落实科技成果转化收益分配、研发费用加计扣除、高新技术企业税收优惠等普惠性政策，健全与创新贡献相匹配的薪酬分配和荣誉表彰体系，提升人才的物质获得感与职业荣誉感。优化升级县级高层次人才“一站式”服务中心功能，集成政策咨询、项目申报、安居保障、子女教育、医疗保健等“一揽子”服务，推动服务流程标准化、数字化。完善“人才飞地”、柔性引才等模式的服务配套与激励保障，确保外来智力“引得进、用得好、留得住”。建立常态化人才需求调研与反馈机制，精准对接重点企业与重大项目的人才服务诉求。通过构建“政策扶持精准、服务保障贴心、发展通道畅通”的全周期人才服务体系，营造良好的人才发展环境。</w:t>
      </w:r>
    </w:p>
    <w:p w14:paraId="16EA4A9E">
      <w:pPr>
        <w:pageBreakBefore w:val="0"/>
        <w:kinsoku/>
        <w:wordWrap/>
        <w:overflowPunct/>
        <w:topLinePunct w:val="0"/>
        <w:autoSpaceDE/>
        <w:autoSpaceDN/>
        <w:bidi w:val="0"/>
        <w:adjustRightInd/>
        <w:snapToGrid/>
        <w:textAlignment w:val="auto"/>
        <w:rPr>
          <w:rFonts w:hint="eastAsia" w:ascii="仿宋_GB2312" w:hAnsi="仿宋_GB2312" w:eastAsia="仿宋_GB2312" w:cs="仿宋_GB2312"/>
          <w:b w:val="0"/>
          <w:color w:val="auto"/>
          <w:kern w:val="2"/>
          <w:sz w:val="32"/>
          <w:szCs w:val="32"/>
          <w:highlight w:val="none"/>
          <w:lang w:val="en-US" w:eastAsia="zh-CN" w:bidi="ar-SA"/>
        </w:rPr>
      </w:pPr>
    </w:p>
    <w:bookmarkEnd w:id="89"/>
    <w:p w14:paraId="06BFF412">
      <w:pPr>
        <w:pStyle w:val="3"/>
        <w:pageBreakBefore w:val="0"/>
        <w:kinsoku/>
        <w:wordWrap/>
        <w:overflowPunct/>
        <w:topLinePunct w:val="0"/>
        <w:autoSpaceDE/>
        <w:autoSpaceDN/>
        <w:bidi w:val="0"/>
        <w:adjustRightInd/>
        <w:snapToGrid/>
        <w:ind w:firstLine="0" w:firstLineChars="0"/>
        <w:jc w:val="center"/>
        <w:textAlignment w:val="auto"/>
        <w:rPr>
          <w:rFonts w:hint="eastAsia"/>
          <w:color w:val="auto"/>
          <w:highlight w:val="none"/>
          <w:lang w:val="en-US" w:eastAsia="zh-CN"/>
        </w:rPr>
      </w:pPr>
      <w:bookmarkStart w:id="103" w:name="_Toc11018"/>
      <w:bookmarkStart w:id="104" w:name="_Toc13726"/>
      <w:bookmarkStart w:id="105" w:name="_Toc14704"/>
      <w:bookmarkStart w:id="106" w:name="_Toc25321"/>
      <w:bookmarkStart w:id="107" w:name="_Toc16777"/>
      <w:bookmarkStart w:id="108" w:name="_Toc3665"/>
      <w:r>
        <w:rPr>
          <w:rFonts w:hint="eastAsia"/>
          <w:color w:val="auto"/>
          <w:highlight w:val="none"/>
          <w:lang w:val="en-US" w:eastAsia="zh-CN"/>
        </w:rPr>
        <w:t xml:space="preserve">第五章 </w:t>
      </w:r>
      <w:r>
        <w:rPr>
          <w:rFonts w:hint="eastAsia" w:eastAsia="黑体" w:asciiTheme="minorAscii" w:hAnsiTheme="minorAscii"/>
          <w:b w:val="0"/>
          <w:bCs w:val="0"/>
          <w:color w:val="auto"/>
          <w:sz w:val="32"/>
          <w:szCs w:val="32"/>
          <w:highlight w:val="none"/>
          <w:u w:val="none"/>
          <w:lang w:val="en-US" w:eastAsia="zh-CN"/>
        </w:rPr>
        <w:t>深度融入国内大循环，推动扩大有效需求市场</w:t>
      </w:r>
      <w:bookmarkEnd w:id="103"/>
      <w:bookmarkEnd w:id="104"/>
      <w:bookmarkEnd w:id="105"/>
      <w:bookmarkEnd w:id="106"/>
      <w:bookmarkEnd w:id="107"/>
      <w:bookmarkEnd w:id="108"/>
    </w:p>
    <w:p w14:paraId="3C8A515F">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color w:val="auto"/>
          <w:highlight w:val="none"/>
          <w:lang w:val="en-US" w:eastAsia="zh-CN"/>
        </w:rPr>
      </w:pPr>
      <w:bookmarkStart w:id="109" w:name="_Toc3340"/>
      <w:bookmarkStart w:id="110" w:name="_Toc18888"/>
      <w:r>
        <w:rPr>
          <w:rFonts w:hint="eastAsia" w:ascii="仿宋_GB2312" w:hAnsi="仿宋_GB2312" w:eastAsia="仿宋_GB2312" w:cs="仿宋_GB2312"/>
          <w:b w:val="0"/>
          <w:bCs/>
          <w:color w:val="auto"/>
          <w:highlight w:val="none"/>
          <w:lang w:val="en-US" w:eastAsia="zh-CN"/>
        </w:rPr>
        <w:t>发挥“千年商埠”底蕴与桂中南重要商品集散地优势，是推动县域经济循环发展的坚实基础。坚持消费升级、有效投资、统一市场建设协同发力，深化投资于物和投资于人紧密结合，将特色产业、商贸物流基础转化为强大市场竞争力。牢牢把握扩大内需这一战略基点，以提升供给质量适配引领消费升级，以优化投资结构夯实发展基础，以破除市场壁垒促进要素高效流通，全面激发县域市场巨大潜力，为经济社会高质量发展提供坚实内需支撑。</w:t>
      </w:r>
    </w:p>
    <w:p w14:paraId="0BFCA9B0">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11" w:name="_Toc1613"/>
      <w:bookmarkStart w:id="112" w:name="_Toc27546"/>
      <w:bookmarkStart w:id="113" w:name="_Toc32535"/>
      <w:r>
        <w:rPr>
          <w:rFonts w:hint="eastAsia"/>
          <w:color w:val="auto"/>
          <w:highlight w:val="none"/>
          <w:lang w:val="en-US" w:eastAsia="zh-CN"/>
        </w:rPr>
        <w:t xml:space="preserve">第一节 </w:t>
      </w:r>
      <w:r>
        <w:rPr>
          <w:rFonts w:hint="eastAsia" w:ascii="楷体_GB2312" w:hAnsi="楷体_GB2312" w:eastAsia="楷体_GB2312" w:cs="楷体_GB2312"/>
          <w:b/>
          <w:bCs/>
          <w:color w:val="auto"/>
          <w:sz w:val="32"/>
          <w:szCs w:val="32"/>
          <w:highlight w:val="none"/>
          <w:lang w:val="en-US" w:eastAsia="zh-CN"/>
        </w:rPr>
        <w:t>大力提振消费</w:t>
      </w:r>
      <w:bookmarkEnd w:id="109"/>
      <w:bookmarkEnd w:id="111"/>
      <w:bookmarkEnd w:id="112"/>
      <w:bookmarkEnd w:id="113"/>
    </w:p>
    <w:p w14:paraId="3C8CAC83">
      <w:pPr>
        <w:pageBreakBefore w:val="0"/>
        <w:kinsoku/>
        <w:wordWrap/>
        <w:overflowPunct/>
        <w:topLinePunct w:val="0"/>
        <w:autoSpaceDE/>
        <w:autoSpaceDN/>
        <w:bidi w:val="0"/>
        <w:adjustRightInd/>
        <w:snapToGrid/>
        <w:spacing w:line="560" w:lineRule="exact"/>
        <w:ind w:firstLine="562"/>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实施提振消费专项工程。</w:t>
      </w:r>
      <w:r>
        <w:rPr>
          <w:rFonts w:hint="eastAsia" w:ascii="仿宋_GB2312" w:hAnsi="宋体" w:eastAsia="仿宋_GB2312" w:cs="仿宋_GB2312"/>
          <w:b w:val="0"/>
          <w:bCs w:val="0"/>
          <w:color w:val="auto"/>
          <w:kern w:val="0"/>
          <w:sz w:val="32"/>
          <w:szCs w:val="32"/>
          <w:highlight w:val="none"/>
          <w:lang w:val="en-US" w:eastAsia="zh-CN"/>
        </w:rPr>
        <w:t>坚持将扩大内需战略基点与持续改善民生紧密结合，系统策划并实施消费提振专项行动。紧密对接国家及自治区促消费政策导向，围绕新能源汽车、绿色智能家电、家居建材等大宗消费，落实并优化购置补贴、以旧换新等激励措施。深度联动“广西33消费节</w:t>
      </w:r>
      <w:r>
        <w:rPr>
          <w:rFonts w:hint="eastAsia" w:ascii="仿宋_GB2312" w:hAnsi="宋体" w:cs="仿宋_GB2312"/>
          <w:b w:val="0"/>
          <w:bCs w:val="0"/>
          <w:color w:val="auto"/>
          <w:kern w:val="0"/>
          <w:sz w:val="32"/>
          <w:szCs w:val="32"/>
          <w:highlight w:val="none"/>
          <w:lang w:val="en-US" w:eastAsia="zh-CN"/>
        </w:rPr>
        <w:t>”“</w:t>
      </w:r>
      <w:r>
        <w:rPr>
          <w:rFonts w:hint="eastAsia" w:ascii="仿宋_GB2312" w:hAnsi="宋体" w:eastAsia="仿宋_GB2312" w:cs="仿宋_GB2312"/>
          <w:b w:val="0"/>
          <w:bCs w:val="0"/>
          <w:color w:val="auto"/>
          <w:kern w:val="0"/>
          <w:sz w:val="32"/>
          <w:szCs w:val="32"/>
          <w:highlight w:val="none"/>
          <w:lang w:val="en-US" w:eastAsia="zh-CN"/>
        </w:rPr>
        <w:t>南宁欢乐消费季”等上级活动平台，于“三月三”壮族佳节、宾阳炮龙节、五一、国庆等消费旺季，精心组织全县性、主题化促销活动。持续完善消费者权益保护联动机制，营造安全、便利、诚信的消费环境。积极推动带薪休假制度落实，鼓励错峰休假与消费，全面激发本地居民消费潜力，稳固消费市场基本盘。</w:t>
      </w:r>
    </w:p>
    <w:p w14:paraId="7F459FB8">
      <w:pPr>
        <w:pageBreakBefore w:val="0"/>
        <w:kinsoku/>
        <w:wordWrap/>
        <w:overflowPunct/>
        <w:topLinePunct w:val="0"/>
        <w:autoSpaceDE/>
        <w:autoSpaceDN/>
        <w:bidi w:val="0"/>
        <w:adjustRightInd/>
        <w:snapToGrid/>
        <w:spacing w:line="560" w:lineRule="exact"/>
        <w:ind w:firstLine="562"/>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突出文旅研学赛事节会“四轮驱动”。</w:t>
      </w:r>
      <w:r>
        <w:rPr>
          <w:rFonts w:hint="eastAsia" w:ascii="仿宋_GB2312" w:hAnsi="宋体" w:eastAsia="仿宋_GB2312" w:cs="仿宋_GB2312"/>
          <w:color w:val="auto"/>
          <w:kern w:val="0"/>
          <w:sz w:val="32"/>
          <w:szCs w:val="32"/>
          <w:highlight w:val="none"/>
          <w:lang w:val="en-US" w:eastAsia="zh-CN"/>
        </w:rPr>
        <w:t>着力扩大外来消费规模，构建以特色文化为内核的消费品牌体系。核心是做强“中国炮龙之乡”国家级节庆IP，高水平举办宾阳炮龙节，创新开发炮龙宴、炮龙文创等衍生品，打造具有全国影响力的民俗节庆品牌。深化文旅融合，重点支持稻花香里旅游区创建国家5A级旅游景区，联动蔡氏古宅、古辣香米产业示范区、大陆村艺术稻田等资源，串珠成链打造“蔡村-大陆-甘地-富都”一站式乡村旅游精品线路，开发炮龙文化、农耕体验、壮锦技艺等“那文化”主题研学项目。积极发展赛事与会展经济，规划建设黎塘镇全民健身中心、富都水上运动基地，承办区域性体育赛事与文化交流活动，促进观赛、旅游、餐饮、购物等多业态融合消费。</w:t>
      </w:r>
    </w:p>
    <w:p w14:paraId="4C36385F">
      <w:pPr>
        <w:pageBreakBefore w:val="0"/>
        <w:kinsoku/>
        <w:wordWrap/>
        <w:overflowPunct/>
        <w:topLinePunct w:val="0"/>
        <w:autoSpaceDE/>
        <w:autoSpaceDN/>
        <w:bidi w:val="0"/>
        <w:adjustRightInd/>
        <w:snapToGrid/>
        <w:spacing w:line="560" w:lineRule="exact"/>
        <w:ind w:firstLine="562"/>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培育数字绿色体验消费新业态。</w:t>
      </w:r>
      <w:r>
        <w:rPr>
          <w:rFonts w:hint="eastAsia" w:ascii="仿宋_GB2312" w:hAnsi="宋体" w:eastAsia="仿宋_GB2312" w:cs="仿宋_GB2312"/>
          <w:color w:val="auto"/>
          <w:kern w:val="0"/>
          <w:sz w:val="32"/>
          <w:szCs w:val="32"/>
          <w:highlight w:val="none"/>
          <w:lang w:val="en-US" w:eastAsia="zh-CN"/>
        </w:rPr>
        <w:t>积极引领消费结构升级，加快发展新消费模式。壮大数字消费，整合县域电商资源，推广“宾阳有礼”区域公共品牌，推动“古辣香米</w:t>
      </w:r>
      <w:r>
        <w:rPr>
          <w:rFonts w:hint="eastAsia" w:ascii="仿宋_GB2312" w:hAnsi="宋体" w:cs="仿宋_GB2312"/>
          <w:color w:val="auto"/>
          <w:kern w:val="0"/>
          <w:sz w:val="32"/>
          <w:szCs w:val="32"/>
          <w:highlight w:val="none"/>
          <w:lang w:val="en-US" w:eastAsia="zh-CN"/>
        </w:rPr>
        <w:t>”“黎塘莲藕”</w:t>
      </w:r>
      <w:r>
        <w:rPr>
          <w:rFonts w:hint="eastAsia" w:ascii="仿宋_GB2312" w:hAnsi="宋体" w:eastAsia="仿宋_GB2312" w:cs="仿宋_GB2312"/>
          <w:color w:val="auto"/>
          <w:kern w:val="0"/>
          <w:sz w:val="32"/>
          <w:szCs w:val="32"/>
          <w:highlight w:val="none"/>
          <w:lang w:val="en-US" w:eastAsia="zh-CN"/>
        </w:rPr>
        <w:t>等地理标志产品和智能穿戴设备等工业品线上销售。大力推广绿色消费，结合全国农村能源革命试点县建设，加快公共领域车辆电动化更新，完善城乡充电基础设施网络。创新发展体验消费与夜间经济，支持传统商圈智慧化改造，培育“夜游、夜食、夜购”消费体系，打造富有宾阳“烟火气”的消费新场景。支持商贸企业开展绿色商场创建，倡导绿色餐饮与循环消费。</w:t>
      </w:r>
    </w:p>
    <w:p w14:paraId="6D6158B3">
      <w:pPr>
        <w:pageBreakBefore w:val="0"/>
        <w:kinsoku/>
        <w:wordWrap/>
        <w:overflowPunct/>
        <w:topLinePunct w:val="0"/>
        <w:autoSpaceDE/>
        <w:autoSpaceDN/>
        <w:bidi w:val="0"/>
        <w:adjustRightInd/>
        <w:snapToGrid/>
        <w:spacing w:line="560" w:lineRule="exact"/>
        <w:ind w:firstLine="562"/>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优化城乡商业网络布局。</w:t>
      </w:r>
      <w:r>
        <w:rPr>
          <w:rFonts w:hint="eastAsia" w:ascii="仿宋_GB2312" w:hAnsi="宋体" w:eastAsia="仿宋_GB2312" w:cs="仿宋_GB2312"/>
          <w:color w:val="auto"/>
          <w:kern w:val="0"/>
          <w:sz w:val="32"/>
          <w:szCs w:val="32"/>
          <w:highlight w:val="none"/>
          <w:lang w:val="en-US" w:eastAsia="zh-CN"/>
        </w:rPr>
        <w:t>加快健全县域商业体系，促进城乡消费协同发展。优化县城、黎塘镇核心商圈业态，改造提升乡镇商贸中心和农村集贸市场。完善“县物流枢纽—乡镇中转站—村级服务点”三级物流网络，重点加快建设黎塘物流集散枢纽中心项目，畅通“工业品下乡”与“农产品进城”双向渠道。支持本地连锁商贸企业向乡镇延伸服务网络，便利农村居民生活消费。通过完善商业设施与高效物流体系，有效降低全社会物流成本，充分释放城乡消费潜力，构建层次分明、覆盖广泛、便捷高效的城乡消费新格局。</w:t>
      </w:r>
    </w:p>
    <w:p w14:paraId="0AA89748">
      <w:pPr>
        <w:pStyle w:val="4"/>
        <w:bidi w:val="0"/>
        <w:ind w:firstLine="0" w:firstLineChars="0"/>
        <w:jc w:val="center"/>
        <w:rPr>
          <w:rFonts w:hint="eastAsia"/>
          <w:color w:val="auto"/>
          <w:highlight w:val="none"/>
          <w:lang w:val="en-US" w:eastAsia="zh-CN"/>
        </w:rPr>
      </w:pPr>
      <w:bookmarkStart w:id="114" w:name="_Toc4519"/>
      <w:bookmarkStart w:id="115" w:name="_Toc6712"/>
      <w:bookmarkStart w:id="116" w:name="_Toc5769"/>
      <w:bookmarkStart w:id="117" w:name="_Toc15239"/>
      <w:r>
        <w:rPr>
          <w:rFonts w:hint="eastAsia"/>
          <w:color w:val="auto"/>
          <w:highlight w:val="none"/>
          <w:lang w:val="en-US" w:eastAsia="zh-CN"/>
        </w:rPr>
        <w:t xml:space="preserve">第二节 </w:t>
      </w:r>
      <w:r>
        <w:rPr>
          <w:rFonts w:hint="default" w:ascii="楷体_GB2312" w:hAnsi="楷体_GB2312" w:eastAsia="楷体_GB2312" w:cs="楷体_GB2312"/>
          <w:b/>
          <w:bCs/>
          <w:color w:val="auto"/>
          <w:sz w:val="32"/>
          <w:szCs w:val="32"/>
          <w:highlight w:val="none"/>
          <w:u w:val="none"/>
          <w:lang w:val="en-US" w:eastAsia="zh-CN"/>
        </w:rPr>
        <w:t>强化有效投资</w:t>
      </w:r>
      <w:bookmarkEnd w:id="114"/>
      <w:bookmarkEnd w:id="115"/>
      <w:bookmarkEnd w:id="116"/>
      <w:bookmarkEnd w:id="117"/>
    </w:p>
    <w:p w14:paraId="2009D73E">
      <w:pPr>
        <w:pageBreakBefore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cs="仿宋_GB2312"/>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保持投资合理增长。</w:t>
      </w:r>
      <w:r>
        <w:rPr>
          <w:rFonts w:hint="eastAsia" w:ascii="仿宋_GB2312" w:hAnsi="仿宋_GB2312" w:cs="仿宋_GB2312"/>
          <w:color w:val="auto"/>
          <w:sz w:val="32"/>
          <w:szCs w:val="32"/>
          <w:highlight w:val="none"/>
          <w:lang w:val="en-US" w:eastAsia="zh-CN"/>
        </w:rPr>
        <w:t>坚持将扩大有效投资作为稳定经济增长、优化供给结构的关键支撑。着力提高投资效益，加强项目谋划论证，建立并动态更新县级重大项目储备库，积极申报国家专项债券、中央预算内投资、超长期特别国债等项目。构建以项目储备、效益评估和精准管理为核心的闭环体系，对战略性新兴产业、传统产业升级及民生补短板项目实行梯度管理。建立贯穿项目全周期的多维效益评估机制，将经济贡献、社会效益与生态影响纳入核心指标。强化年度投资计划与经济发展目标的刚性匹配，通过跨部门要素协同保障，引导土地、能耗、资金等要素向产业链关键环节集中，并实施项目动态监测与退出预警，坚决杜绝低效无效投资。</w:t>
      </w:r>
    </w:p>
    <w:p w14:paraId="67545B52">
      <w:pPr>
        <w:pageBreakBefore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cs="仿宋_GB2312"/>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突出工业投资主导地位。</w:t>
      </w:r>
      <w:r>
        <w:rPr>
          <w:rFonts w:hint="eastAsia" w:ascii="仿宋_GB2312" w:hAnsi="仿宋_GB2312" w:cs="仿宋_GB2312"/>
          <w:color w:val="auto"/>
          <w:sz w:val="32"/>
          <w:szCs w:val="32"/>
          <w:highlight w:val="none"/>
          <w:lang w:val="en-US" w:eastAsia="zh-CN"/>
        </w:rPr>
        <w:t>重点对接新能源、新材料等产业项目，加快重大交通、能源、水利等项目建设，高质量推进“两新”“两重”项目建设。一是聚焦工业及“两新”领域。抢抓国家大规模设备更新和消费品以旧换新机遇，系统推动工业、农业、建筑、交通、教育、文旅、医疗等领域设备更新和技术改造。重点支持黎塘工业园区内企业实施生产线智能化绿色化升级。深入落实消费品以旧换新政策，联动“广西33消费节”等平台，促进新能源汽车、绿色智能家居产品消费。二是加快“两重”及重大基础设施建设。紧密对接国家重大战略及重点领域安全能力建设，全力服务保障G322、G358南宁至宾阳至黎塘公路一期、二期工程、六宾高速延长线等重大交通项目，以及高标准农田、灌区现代化改造、风电光伏能源、应急物资储备等安全能力建设项目落地。完善基础设施和公共服务设施布局，建立健全重大项目专班推进机制，加强土地、能耗等要素协同保障。</w:t>
      </w:r>
    </w:p>
    <w:p w14:paraId="228C7D1D">
      <w:pPr>
        <w:pageBreakBefore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cs="仿宋_GB2312"/>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激发民间投资活力。</w:t>
      </w:r>
      <w:r>
        <w:rPr>
          <w:rFonts w:hint="eastAsia" w:ascii="仿宋_GB2312" w:hAnsi="仿宋_GB2312" w:cs="仿宋_GB2312"/>
          <w:color w:val="auto"/>
          <w:sz w:val="32"/>
          <w:szCs w:val="32"/>
          <w:highlight w:val="none"/>
          <w:lang w:val="en-US" w:eastAsia="zh-CN"/>
        </w:rPr>
        <w:t>围绕县域主导产业发展需求，健全民间投资促进机制，发挥国有平台带动作用。拓宽社会资本参与渠道，鼓励民间资本通过股权投资、特许经营等方式，参与县域智慧停车场、冷链物流基地、分布式光伏等项目建设。定期编制并向社会公开发布重点领域民间资本投资机会清单。加强民间投资项目资金和要素协同保障，成立重大项目要素保障协调专班，对符合条件的优质民间投资项目，在用地、用能、融资等方面予以优先支持。</w:t>
      </w:r>
    </w:p>
    <w:p w14:paraId="3C0DE4A9">
      <w:pPr>
        <w:pageBreakBefore w:val="0"/>
        <w:numPr>
          <w:ilvl w:val="-1"/>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仿宋_GB2312" w:eastAsia="仿宋_GB2312" w:cs="仿宋_GB2312"/>
          <w:b/>
          <w:bCs/>
          <w:color w:val="auto"/>
          <w:sz w:val="32"/>
          <w:szCs w:val="32"/>
          <w:highlight w:val="none"/>
          <w:lang w:eastAsia="zh-CN"/>
        </w:rPr>
        <w:t>深化“五大招商”模式。</w:t>
      </w:r>
      <w:r>
        <w:rPr>
          <w:rFonts w:hint="eastAsia" w:ascii="仿宋_GB2312" w:hAnsi="仿宋_GB2312" w:eastAsia="仿宋_GB2312" w:cs="仿宋_GB2312"/>
          <w:color w:val="auto"/>
          <w:sz w:val="32"/>
          <w:szCs w:val="32"/>
          <w:highlight w:val="none"/>
          <w:lang w:eastAsia="zh-CN"/>
        </w:rPr>
        <w:t>一是产业链招商。精准锚定产业转移活跃区域实施靶向招商，针对大湾区重点招引智能制造、电子信息类补链强链项目，面向长三角聚焦新能源、新材料产业延链项目，对接京津冀引进先进制造、科技创新类高端项目，同步围绕县域低空经济、新能源新材料、先进制造业等主导产业，开展全产业链精准招商，推动形成区域产业联动、本地链条完善的产业格局。二是基金招商。持续深化“基金+产业”招商模式，主动对接区内外龙头企业，拓宽产业基金来源渠道，聚焦大区质产业项目加大资本投入力度，以资本赋能撬动社会资本参与县域产业布局，推动大区优质项目快速落地见效。三是智库招商。全面推广“智库+招商”模式，依托专家智库的专业优势，精准研判大区产业发展趋势和重点企业投资需求，定制靶向招商方案，为项目对接和产业布局提供专业支撑，切实提升大区招商的精准度和匹配度。四是市场化招商。健全市场化招商机制，一方面加强与大区商协会、行业协会、异地商会的深度合作，建立重点企业名录库，每月开展精准对接活动；另一方面培育专业招商代理机构，大力推行委托招商、代理招商，拓宽大区项目来源渠道。五是以商招商。以优质营商环境为核心依托，激活现有落地企业的产业链资源，鼓励企业发挥人脉和行业优势，主动引荐大区产业链上下游配套项目，形成“引进一个、带动一串、集聚一片”的招商倍增效应</w:t>
      </w:r>
      <w:r>
        <w:rPr>
          <w:rFonts w:hint="eastAsia" w:ascii="仿宋_GB2312" w:hAnsi="仿宋_GB2312" w:cs="仿宋_GB2312"/>
          <w:color w:val="auto"/>
          <w:sz w:val="32"/>
          <w:szCs w:val="32"/>
          <w:highlight w:val="none"/>
          <w:lang w:val="en-US" w:eastAsia="zh-CN"/>
        </w:rPr>
        <w:t>。</w:t>
      </w:r>
    </w:p>
    <w:p w14:paraId="385B8722">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18" w:name="_Toc19090"/>
      <w:bookmarkStart w:id="119" w:name="_Toc25668"/>
      <w:bookmarkStart w:id="120" w:name="_Toc4668"/>
      <w:bookmarkStart w:id="121" w:name="_Toc11964"/>
      <w:r>
        <w:rPr>
          <w:rFonts w:hint="eastAsia"/>
          <w:color w:val="auto"/>
          <w:highlight w:val="none"/>
          <w:lang w:val="en-US" w:eastAsia="zh-CN"/>
        </w:rPr>
        <w:t xml:space="preserve">第三节 </w:t>
      </w:r>
      <w:r>
        <w:rPr>
          <w:rFonts w:hint="eastAsia" w:ascii="楷体_GB2312" w:hAnsi="楷体_GB2312" w:eastAsia="楷体_GB2312" w:cs="楷体_GB2312"/>
          <w:b/>
          <w:bCs/>
          <w:color w:val="auto"/>
          <w:sz w:val="32"/>
          <w:szCs w:val="32"/>
          <w:highlight w:val="none"/>
          <w:u w:val="none"/>
          <w:lang w:val="en-US" w:eastAsia="zh-CN"/>
        </w:rPr>
        <w:t>积极</w:t>
      </w:r>
      <w:r>
        <w:rPr>
          <w:rFonts w:hint="default" w:ascii="楷体_GB2312" w:hAnsi="楷体_GB2312" w:eastAsia="楷体_GB2312" w:cs="楷体_GB2312"/>
          <w:b/>
          <w:bCs/>
          <w:color w:val="auto"/>
          <w:sz w:val="32"/>
          <w:szCs w:val="32"/>
          <w:highlight w:val="none"/>
          <w:u w:val="none"/>
          <w:lang w:val="en-US" w:eastAsia="zh-CN"/>
        </w:rPr>
        <w:t>融入全国</w:t>
      </w:r>
      <w:r>
        <w:rPr>
          <w:rFonts w:hint="eastAsia" w:ascii="楷体_GB2312" w:hAnsi="楷体_GB2312" w:eastAsia="楷体_GB2312" w:cs="楷体_GB2312"/>
          <w:b/>
          <w:bCs/>
          <w:color w:val="auto"/>
          <w:sz w:val="32"/>
          <w:szCs w:val="32"/>
          <w:highlight w:val="none"/>
          <w:u w:val="none"/>
          <w:lang w:val="en-US" w:eastAsia="zh-CN"/>
        </w:rPr>
        <w:t>统一大</w:t>
      </w:r>
      <w:r>
        <w:rPr>
          <w:rFonts w:hint="default" w:ascii="楷体_GB2312" w:hAnsi="楷体_GB2312" w:eastAsia="楷体_GB2312" w:cs="楷体_GB2312"/>
          <w:b/>
          <w:bCs/>
          <w:color w:val="auto"/>
          <w:sz w:val="32"/>
          <w:szCs w:val="32"/>
          <w:highlight w:val="none"/>
          <w:u w:val="none"/>
          <w:lang w:val="en-US" w:eastAsia="zh-CN"/>
        </w:rPr>
        <w:t>市场</w:t>
      </w:r>
      <w:bookmarkEnd w:id="118"/>
      <w:bookmarkEnd w:id="119"/>
      <w:bookmarkEnd w:id="120"/>
      <w:bookmarkEnd w:id="121"/>
    </w:p>
    <w:p w14:paraId="6156265A">
      <w:pPr>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坚决破除各类卡点堵点。</w:t>
      </w:r>
      <w:r>
        <w:rPr>
          <w:rFonts w:hint="eastAsia" w:ascii="仿宋_GB2312" w:hAnsi="宋体" w:eastAsia="仿宋_GB2312" w:cs="仿宋_GB2312"/>
          <w:color w:val="auto"/>
          <w:kern w:val="0"/>
          <w:sz w:val="32"/>
          <w:szCs w:val="32"/>
          <w:highlight w:val="none"/>
          <w:lang w:val="en-US" w:eastAsia="zh-CN"/>
        </w:rPr>
        <w:t>加强市场准入负面清单管理，全面落实“非禁即入”原则。规范地方政府经济促进行为，消除数据资源、要素获取、资质认定、招标投标等方面壁垒，破除地方保护和市场分割，整治“内卷式”竞争。加强公平竞争审查刚性约束，开展市场准入壁垒整治清理行动，对新出台的政策措施进行全覆盖审查，保障各类市场主体平等参与竞争。</w:t>
      </w:r>
    </w:p>
    <w:p w14:paraId="02B22E72">
      <w:pPr>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加强统一市场监管执法。</w:t>
      </w:r>
      <w:r>
        <w:rPr>
          <w:rFonts w:hint="eastAsia" w:ascii="仿宋_GB2312" w:hAnsi="宋体" w:eastAsia="仿宋_GB2312" w:cs="仿宋_GB2312"/>
          <w:color w:val="auto"/>
          <w:kern w:val="0"/>
          <w:sz w:val="32"/>
          <w:szCs w:val="32"/>
          <w:highlight w:val="none"/>
          <w:lang w:val="en-US" w:eastAsia="zh-CN"/>
        </w:rPr>
        <w:t>强化反垄断和反不正当竞争，依法查处滥用市场支配地位、达成垄断协议及仿冒混淆、商业贿赂等违法行为。严格执行行政裁量权基准，提升综合监管能力与执法规范性及透明度。推进“智慧监管”能力建设，提升跨部门协同监管和风险预警处置水平，形成监管合力，维护公平竞争的市场秩序。</w:t>
      </w:r>
    </w:p>
    <w:p w14:paraId="6366E9BE">
      <w:pPr>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夯实市场制度与信用基础。</w:t>
      </w:r>
      <w:r>
        <w:rPr>
          <w:rFonts w:hint="eastAsia" w:ascii="仿宋_GB2312" w:hAnsi="宋体" w:eastAsia="仿宋_GB2312" w:cs="仿宋_GB2312"/>
          <w:color w:val="auto"/>
          <w:kern w:val="0"/>
          <w:sz w:val="32"/>
          <w:szCs w:val="32"/>
          <w:highlight w:val="none"/>
          <w:lang w:val="en-US" w:eastAsia="zh-CN"/>
        </w:rPr>
        <w:t>加强标准实施与监督，鼓励企业制定实施先进标准，以高标准引领质量提升。积极探索数据资源分类分级确权与规范应用，释放数据要素价值。深化社会信用体系建设与应用，完善以信用为基础的新型监管机制，在政府采购、招标投标、行政审批等领域加强信用信息应用，健全以信用为基础的新型监管机制，依法依规实施守信激励和失信惩戒。</w:t>
      </w:r>
    </w:p>
    <w:p w14:paraId="54CE365F">
      <w:pPr>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b/>
          <w:bCs/>
          <w:color w:val="auto"/>
          <w:kern w:val="0"/>
          <w:sz w:val="32"/>
          <w:szCs w:val="32"/>
          <w:highlight w:val="none"/>
          <w:lang w:val="en-US" w:eastAsia="zh-CN"/>
        </w:rPr>
        <w:t>建设现代化流通体系。</w:t>
      </w:r>
      <w:r>
        <w:rPr>
          <w:rFonts w:hint="eastAsia" w:ascii="仿宋_GB2312" w:hAnsi="宋体" w:eastAsia="仿宋_GB2312" w:cs="仿宋_GB2312"/>
          <w:color w:val="auto"/>
          <w:kern w:val="0"/>
          <w:sz w:val="32"/>
          <w:szCs w:val="32"/>
          <w:highlight w:val="none"/>
          <w:lang w:val="en-US" w:eastAsia="zh-CN"/>
        </w:rPr>
        <w:t>完善“县枢纽—镇中转—村终端”三级网络，重点加快建设黎塘物流集散枢纽中心等项目，提升县级物流中心的集散分拨功能。促进流通规则和标准统一，推动物流信息资源整合共享，持续优化物流组织模式。发展多式联运，推广标准化托盘、周转箱等单元化物流器具循环共用，持续降低全社会物流成本。</w:t>
      </w:r>
    </w:p>
    <w:bookmarkEnd w:id="110"/>
    <w:p w14:paraId="5CBEFD73">
      <w:pPr>
        <w:pStyle w:val="3"/>
        <w:pageBreakBefore w:val="0"/>
        <w:kinsoku/>
        <w:wordWrap/>
        <w:overflowPunct/>
        <w:topLinePunct w:val="0"/>
        <w:autoSpaceDE/>
        <w:autoSpaceDN/>
        <w:bidi w:val="0"/>
        <w:adjustRightInd/>
        <w:snapToGrid/>
        <w:ind w:firstLine="0" w:firstLineChars="0"/>
        <w:jc w:val="center"/>
        <w:textAlignment w:val="auto"/>
        <w:rPr>
          <w:rFonts w:hint="eastAsia"/>
          <w:color w:val="auto"/>
          <w:highlight w:val="none"/>
          <w:lang w:val="en-US" w:eastAsia="zh-CN"/>
        </w:rPr>
      </w:pPr>
      <w:bookmarkStart w:id="122" w:name="_Toc20454"/>
      <w:bookmarkStart w:id="123" w:name="_Toc5020"/>
      <w:bookmarkStart w:id="124" w:name="_Toc16202"/>
      <w:bookmarkStart w:id="125" w:name="_Toc25860"/>
      <w:bookmarkStart w:id="126" w:name="_Toc13757"/>
      <w:bookmarkStart w:id="127" w:name="_Toc31490"/>
      <w:r>
        <w:rPr>
          <w:rFonts w:hint="eastAsia"/>
          <w:color w:val="auto"/>
          <w:highlight w:val="none"/>
          <w:lang w:val="en-US" w:eastAsia="zh-CN"/>
        </w:rPr>
        <w:t xml:space="preserve">第六章 </w:t>
      </w:r>
      <w:r>
        <w:rPr>
          <w:rFonts w:hint="eastAsia" w:eastAsia="黑体" w:asciiTheme="minorAscii" w:hAnsiTheme="minorAscii"/>
          <w:b w:val="0"/>
          <w:bCs w:val="0"/>
          <w:color w:val="auto"/>
          <w:sz w:val="32"/>
          <w:szCs w:val="32"/>
          <w:highlight w:val="none"/>
          <w:u w:val="none"/>
          <w:lang w:val="en-US" w:eastAsia="zh-CN"/>
        </w:rPr>
        <w:t>加快农业农村现代化，扎实推进乡村全面振兴</w:t>
      </w:r>
      <w:bookmarkEnd w:id="122"/>
      <w:bookmarkEnd w:id="123"/>
      <w:bookmarkEnd w:id="124"/>
      <w:bookmarkEnd w:id="125"/>
      <w:bookmarkEnd w:id="126"/>
      <w:bookmarkEnd w:id="127"/>
    </w:p>
    <w:p w14:paraId="19168147">
      <w:pPr>
        <w:keepNext/>
        <w:keepLines/>
        <w:ind w:firstLine="640" w:firstLineChars="200"/>
        <w:jc w:val="left"/>
        <w:outlineLvl w:val="9"/>
        <w:rPr>
          <w:rFonts w:hint="eastAsia"/>
          <w:color w:val="auto"/>
          <w:highlight w:val="none"/>
          <w:lang w:val="en-US" w:eastAsia="zh-CN"/>
        </w:rPr>
      </w:pPr>
      <w:bookmarkStart w:id="128" w:name="_Toc4095"/>
      <w:bookmarkStart w:id="129" w:name="_Toc13387"/>
      <w:r>
        <w:rPr>
          <w:rFonts w:hint="eastAsia" w:ascii="仿宋_GB2312" w:hAnsi="仿宋_GB2312" w:eastAsia="仿宋_GB2312" w:cs="仿宋_GB2312"/>
          <w:b w:val="0"/>
          <w:bCs w:val="0"/>
          <w:color w:val="auto"/>
          <w:sz w:val="32"/>
          <w:szCs w:val="32"/>
          <w:highlight w:val="none"/>
          <w:lang w:val="en-US" w:eastAsia="zh-CN"/>
        </w:rPr>
        <w:t>农业农村现代化是宾阳高质量发展的根基所在。必须学习运用“千万工程”经验，牢牢守住粮食安全和不发生规模性返贫两条底线，统筹推进农业产业增效、乡村建设提质、农民持续增收，促进农村一二三产深度融合，系统提升人居环境与治理水平，加快形成城乡融合发展新格局，绘就宾阳乡村全面振兴新画卷。</w:t>
      </w:r>
    </w:p>
    <w:p w14:paraId="3037AA32">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30" w:name="_Toc10466"/>
      <w:bookmarkStart w:id="131" w:name="_Toc28378"/>
      <w:bookmarkStart w:id="132" w:name="_Toc18639"/>
      <w:r>
        <w:rPr>
          <w:rFonts w:hint="eastAsia"/>
          <w:color w:val="auto"/>
          <w:highlight w:val="none"/>
          <w:lang w:val="en-US" w:eastAsia="zh-CN"/>
        </w:rPr>
        <w:t xml:space="preserve">第一节 </w:t>
      </w:r>
      <w:bookmarkEnd w:id="128"/>
      <w:r>
        <w:rPr>
          <w:rFonts w:hint="eastAsia"/>
          <w:color w:val="auto"/>
          <w:highlight w:val="none"/>
          <w:lang w:val="en-US" w:eastAsia="zh-CN"/>
        </w:rPr>
        <w:t>增强农业综合生产质效</w:t>
      </w:r>
      <w:bookmarkEnd w:id="130"/>
      <w:bookmarkEnd w:id="131"/>
      <w:bookmarkEnd w:id="132"/>
    </w:p>
    <w:p w14:paraId="5FF8C9F6">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夯实现代农业生产基础。</w:t>
      </w:r>
      <w:r>
        <w:rPr>
          <w:rFonts w:hint="eastAsia" w:ascii="仿宋_GB2312" w:hAnsi="仿宋_GB2312" w:eastAsia="仿宋_GB2312" w:cs="仿宋_GB2312"/>
          <w:b w:val="0"/>
          <w:bCs w:val="0"/>
          <w:color w:val="auto"/>
          <w:sz w:val="32"/>
          <w:szCs w:val="32"/>
          <w:highlight w:val="none"/>
          <w:lang w:val="en-US" w:eastAsia="zh-CN"/>
        </w:rPr>
        <w:t>深入实施粮油作物大面积单产提升行动，落实国家新一轮千亿斤粮食产能提升行动，进一步稳定糖料蔗生产，坚决筑牢粮食安全和糖业安全根基。以</w:t>
      </w:r>
      <w:r>
        <w:rPr>
          <w:rFonts w:hint="eastAsia" w:ascii="仿宋_GB2312" w:hAnsi="仿宋_GB2312" w:cs="仿宋_GB2312"/>
          <w:b w:val="0"/>
          <w:bCs w:val="0"/>
          <w:color w:val="auto"/>
          <w:sz w:val="32"/>
          <w:szCs w:val="32"/>
          <w:highlight w:val="none"/>
          <w:lang w:val="en-US" w:eastAsia="zh-CN"/>
        </w:rPr>
        <w:t>做强做优</w:t>
      </w:r>
      <w:r>
        <w:rPr>
          <w:rFonts w:hint="eastAsia" w:ascii="仿宋_GB2312" w:hAnsi="仿宋_GB2312" w:eastAsia="仿宋_GB2312" w:cs="仿宋_GB2312"/>
          <w:b w:val="0"/>
          <w:bCs w:val="0"/>
          <w:color w:val="auto"/>
          <w:sz w:val="32"/>
          <w:szCs w:val="32"/>
          <w:highlight w:val="none"/>
          <w:lang w:val="en-US" w:eastAsia="zh-CN"/>
        </w:rPr>
        <w:t>“古辣香米”产业为核心引擎，主攻粮食单产和品质，持续实施绿色高产高效、水稻增密增穗等关键行动，强化良田、良种、良法、良机、良制协同配套，整合资源建设一批高标准基地，着力构建一套适合宾阳的水稻大面积单产提升技术体系。严守耕地保护红线，严格落实耕地占补平衡制度，高质量推进高标准农田建设与改造提升，“十五五”期间</w:t>
      </w:r>
      <w:r>
        <w:rPr>
          <w:rFonts w:hint="eastAsia" w:ascii="仿宋_GB2312" w:hAnsi="仿宋_GB2312" w:cs="仿宋_GB2312"/>
          <w:b w:val="0"/>
          <w:bCs w:val="0"/>
          <w:color w:val="auto"/>
          <w:sz w:val="32"/>
          <w:szCs w:val="32"/>
          <w:highlight w:val="none"/>
          <w:lang w:val="en-US" w:eastAsia="zh-CN"/>
        </w:rPr>
        <w:t>新增</w:t>
      </w:r>
      <w:r>
        <w:rPr>
          <w:rFonts w:hint="eastAsia" w:ascii="仿宋_GB2312" w:hAnsi="仿宋_GB2312" w:eastAsia="仿宋_GB2312" w:cs="仿宋_GB2312"/>
          <w:b w:val="0"/>
          <w:bCs w:val="0"/>
          <w:color w:val="auto"/>
          <w:sz w:val="32"/>
          <w:szCs w:val="32"/>
          <w:highlight w:val="none"/>
          <w:lang w:val="en-US" w:eastAsia="zh-CN"/>
        </w:rPr>
        <w:t>建设高标准农田</w:t>
      </w:r>
      <w:r>
        <w:rPr>
          <w:rFonts w:hint="eastAsia" w:ascii="仿宋_GB2312" w:hAnsi="仿宋_GB2312" w:cs="仿宋_GB2312"/>
          <w:b w:val="0"/>
          <w:bCs w:val="0"/>
          <w:color w:val="auto"/>
          <w:sz w:val="32"/>
          <w:szCs w:val="32"/>
          <w:highlight w:val="none"/>
          <w:lang w:val="en-US" w:eastAsia="zh-CN"/>
        </w:rPr>
        <w:t>6</w:t>
      </w:r>
      <w:r>
        <w:rPr>
          <w:rFonts w:hint="eastAsia" w:ascii="仿宋_GB2312" w:hAnsi="仿宋_GB2312" w:eastAsia="仿宋_GB2312" w:cs="仿宋_GB2312"/>
          <w:b w:val="0"/>
          <w:bCs w:val="0"/>
          <w:color w:val="auto"/>
          <w:sz w:val="32"/>
          <w:szCs w:val="32"/>
          <w:highlight w:val="none"/>
          <w:lang w:val="en-US" w:eastAsia="zh-CN"/>
        </w:rPr>
        <w:t>万亩以上，同步健全建后管护长效机制，持续改善农田基础设施条件与耕地地力，为粮食总产稳步提升、糖料蔗等优势产业规模位居全市前列提供坚实的土地保障。</w:t>
      </w:r>
    </w:p>
    <w:p w14:paraId="6546864A">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构建新型农业服务支撑体系。</w:t>
      </w:r>
      <w:r>
        <w:rPr>
          <w:rFonts w:hint="eastAsia" w:ascii="仿宋_GB2312" w:hAnsi="仿宋_GB2312" w:eastAsia="仿宋_GB2312" w:cs="仿宋_GB2312"/>
          <w:b w:val="0"/>
          <w:bCs w:val="0"/>
          <w:color w:val="auto"/>
          <w:sz w:val="32"/>
          <w:szCs w:val="32"/>
          <w:highlight w:val="none"/>
          <w:lang w:val="en-US" w:eastAsia="zh-CN"/>
        </w:rPr>
        <w:t>大力培育壮大新型农业经营主体，发展多种形式适度规模经营，为现代农业发展注入核心动能。实施农业产业化龙头企业培育行动，积极发展家庭农场、农民合作社，力争培育一批产业链“链主”企业</w:t>
      </w:r>
      <w:r>
        <w:rPr>
          <w:rFonts w:hint="eastAsia" w:ascii="仿宋_GB2312" w:hAnsi="仿宋_GB2312" w:cs="仿宋_GB2312"/>
          <w:b w:val="0"/>
          <w:bCs w:val="0"/>
          <w:color w:val="auto"/>
          <w:sz w:val="32"/>
          <w:szCs w:val="32"/>
          <w:highlight w:val="none"/>
          <w:lang w:val="en-US" w:eastAsia="zh-CN"/>
        </w:rPr>
        <w:t>和</w:t>
      </w:r>
      <w:r>
        <w:rPr>
          <w:rFonts w:hint="eastAsia" w:ascii="仿宋_GB2312" w:hAnsi="仿宋_GB2312" w:eastAsia="仿宋_GB2312" w:cs="仿宋_GB2312"/>
          <w:b w:val="0"/>
          <w:bCs w:val="0"/>
          <w:color w:val="auto"/>
          <w:sz w:val="32"/>
          <w:szCs w:val="32"/>
          <w:highlight w:val="none"/>
          <w:lang w:val="en-US" w:eastAsia="zh-CN"/>
        </w:rPr>
        <w:t>产值超十亿元的产业重点链。通过完善“订单收购”、利润返还等联农带农机制，推动新型经营主体与农户建立紧密利益联结。同步健全覆盖全程、便捷高效的农业社会化服务体系，重点推进现代农事综合服务中心、区域性水稻产业中心、育秧中心、烘干中心及星级农机社会化服务组织建设，扶持专业化统防统治组织发展，提升植保无人机等现代装备应用水平。完善水利基础设施网络，推进水源工程及大中型灌区续建配套与现代化节水改造，全面提高农业用水效率与抗旱保灌能力，构建起支撑产业规模化、集约化发展的现代化服务支撑体系。</w:t>
      </w:r>
    </w:p>
    <w:p w14:paraId="54CD7DB6">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240" w:lineRule="auto"/>
        <w:ind w:left="0" w:leftChars="0" w:firstLine="643" w:firstLineChars="200"/>
        <w:jc w:val="left"/>
        <w:textAlignment w:val="auto"/>
        <w:outlineLvl w:val="9"/>
        <w:rPr>
          <w:rFonts w:hint="eastAsia"/>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强化农业质量安全与风险防控。</w:t>
      </w:r>
      <w:r>
        <w:rPr>
          <w:rFonts w:hint="eastAsia" w:ascii="仿宋_GB2312" w:hAnsi="仿宋_GB2312" w:eastAsia="仿宋_GB2312" w:cs="仿宋_GB2312"/>
          <w:b w:val="0"/>
          <w:bCs w:val="0"/>
          <w:color w:val="auto"/>
          <w:sz w:val="32"/>
          <w:szCs w:val="32"/>
          <w:highlight w:val="none"/>
          <w:lang w:val="en-US" w:eastAsia="zh-CN"/>
        </w:rPr>
        <w:t>全面强化农产品品质管控与全过程监管，推动实现优质优价。深入实施农业品牌战略，持续做精做强“古辣香米</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宾阳鸽”等区域公用品牌，大力发展富硒农业，优化升级富硒香米品牌，并积极推进绿色食品、有机农产品认证与“广西农业品牌目录”申报工作。同步系统健全农业防灾减灾体系，加强农作物病虫害监测预警能力建设，强化统防统治与应急防控，大幅增加植保无人机保有量，提升日应急作业能力。通过建设现代农事综合服务中心，集成提供技术推广、农机服务、烘干加工、仓储物流等一体化服务，显著增强农业产业链各环节的韧性与稳定性，有效抵御自然风险与市场波动，为农业稳产保供、农民持续增收构建牢固的安全屏障。</w:t>
      </w:r>
    </w:p>
    <w:p w14:paraId="71C45288">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33" w:name="_Toc13569"/>
      <w:bookmarkStart w:id="134" w:name="_Toc12281"/>
      <w:bookmarkStart w:id="135" w:name="_Toc8854"/>
      <w:bookmarkStart w:id="136" w:name="_Toc13936"/>
      <w:r>
        <w:rPr>
          <w:rFonts w:hint="eastAsia"/>
          <w:color w:val="auto"/>
          <w:highlight w:val="none"/>
          <w:lang w:val="en-US" w:eastAsia="zh-CN"/>
        </w:rPr>
        <w:t xml:space="preserve">第二节 </w:t>
      </w:r>
      <w:bookmarkEnd w:id="133"/>
      <w:r>
        <w:rPr>
          <w:rFonts w:hint="eastAsia"/>
          <w:color w:val="auto"/>
          <w:highlight w:val="none"/>
          <w:lang w:val="en-US" w:eastAsia="zh-CN"/>
        </w:rPr>
        <w:t>打造宜居宜业和美乡村</w:t>
      </w:r>
      <w:bookmarkEnd w:id="134"/>
      <w:bookmarkEnd w:id="135"/>
      <w:bookmarkEnd w:id="136"/>
    </w:p>
    <w:p w14:paraId="29BB08DC">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提升乡村人居环境与空间治理水平。</w:t>
      </w:r>
      <w:r>
        <w:rPr>
          <w:rFonts w:hint="eastAsia" w:ascii="仿宋_GB2312" w:hAnsi="仿宋_GB2312" w:eastAsia="仿宋_GB2312" w:cs="仿宋_GB2312"/>
          <w:b w:val="0"/>
          <w:bCs w:val="0"/>
          <w:color w:val="auto"/>
          <w:sz w:val="32"/>
          <w:szCs w:val="32"/>
          <w:highlight w:val="none"/>
          <w:lang w:val="en-US" w:eastAsia="zh-CN"/>
        </w:rPr>
        <w:t>深入学习运用“千万工程”经验，以“五好两宜”和美乡村试点试验项目为契机，系统性改善农村人居环境。推进乡村基础设施补短板强弱项行动，重点支持农村厕所革命、生活垃圾与污水处理设施建设，力争到2030年农村卫生厕所普及率达到9</w:t>
      </w:r>
      <w:r>
        <w:rPr>
          <w:rFonts w:hint="eastAsia" w:ascii="仿宋_GB2312" w:hAnsi="仿宋_GB2312" w:cs="仿宋_GB2312"/>
          <w:b w:val="0"/>
          <w:bCs w:val="0"/>
          <w:color w:val="auto"/>
          <w:sz w:val="32"/>
          <w:szCs w:val="32"/>
          <w:highlight w:val="none"/>
          <w:lang w:val="en-US" w:eastAsia="zh-CN"/>
        </w:rPr>
        <w:t>8</w:t>
      </w:r>
      <w:r>
        <w:rPr>
          <w:rFonts w:hint="eastAsia" w:ascii="仿宋_GB2312" w:hAnsi="仿宋_GB2312" w:eastAsia="仿宋_GB2312" w:cs="仿宋_GB2312"/>
          <w:b w:val="0"/>
          <w:bCs w:val="0"/>
          <w:color w:val="auto"/>
          <w:sz w:val="32"/>
          <w:szCs w:val="32"/>
          <w:highlight w:val="none"/>
          <w:lang w:val="en-US" w:eastAsia="zh-CN"/>
        </w:rPr>
        <w:t>%以上，依托宾阳生活垃圾焚烧发电厂等项目，构建覆盖城乡的垃圾收运处理体系。强化规划引领与空间优化，通过实施水系连通、水环境整治及村庄绿化美化等工程，切实改善村容村貌。协同推进县域现代化水网构建与国土空间治理，积极争取并实施伶俐、五化等一批大中型灌区的现代化改造，开展石狗江、竹筒江等水系综合治理，稳步推进全域土地综合整治，优化农业生产、农民生活与农村生态空间布局，为乡村可持续发展奠定坚实的生态环境与设施基础。</w:t>
      </w:r>
    </w:p>
    <w:p w14:paraId="7AE6C750">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构建一二三产业融合的乡村产业体系。</w:t>
      </w:r>
      <w:r>
        <w:rPr>
          <w:rFonts w:hint="eastAsia" w:ascii="仿宋_GB2312" w:hAnsi="仿宋_GB2312" w:eastAsia="仿宋_GB2312" w:cs="仿宋_GB2312"/>
          <w:b w:val="0"/>
          <w:bCs w:val="0"/>
          <w:color w:val="auto"/>
          <w:sz w:val="32"/>
          <w:szCs w:val="32"/>
          <w:highlight w:val="none"/>
          <w:lang w:val="en-US" w:eastAsia="zh-CN"/>
        </w:rPr>
        <w:t>立足县域资源禀赋，以做好“土特产”文章为抓手，着力延伸产业链、提升价值链，推动乡村产业全链条升级。聚焦“古辣香米”全产业链，聚力打造</w:t>
      </w:r>
      <w:r>
        <w:rPr>
          <w:rFonts w:hint="eastAsia" w:ascii="仿宋_GB2312" w:hAnsi="仿宋_GB2312" w:cs="仿宋_GB2312"/>
          <w:b w:val="0"/>
          <w:bCs w:val="0"/>
          <w:color w:val="auto"/>
          <w:sz w:val="32"/>
          <w:szCs w:val="32"/>
          <w:highlight w:val="none"/>
          <w:lang w:val="en-US" w:eastAsia="zh-CN"/>
        </w:rPr>
        <w:t>国家</w:t>
      </w:r>
      <w:r>
        <w:rPr>
          <w:rFonts w:hint="eastAsia" w:ascii="仿宋_GB2312" w:hAnsi="仿宋_GB2312" w:eastAsia="仿宋_GB2312" w:cs="仿宋_GB2312"/>
          <w:b w:val="0"/>
          <w:bCs w:val="0"/>
          <w:color w:val="auto"/>
          <w:sz w:val="32"/>
          <w:szCs w:val="32"/>
          <w:highlight w:val="none"/>
          <w:lang w:val="en-US" w:eastAsia="zh-CN"/>
        </w:rPr>
        <w:t>现代农业产业园，支持打造自治区级农产品加工集聚区。深度开发农业的生态休闲、文化传承等多种功能，以农文旅融合激活乡村多元价值。重点支持将“中国·宾阳炮龙文化旅游美食节”打造为知名文旅品牌，推动古辣稻花香里旅游区创建自治区级旅游度假区，整合炮龙文化、稻田艺术、传统村落等资源，策划推出精品旅游线路。拓宽价值实现渠道，完善以县级物流配送中心为枢纽、产地冷藏保鲜设施为节点的农村电商服务体系，推动“宾阳富硒香米</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宾阳鸽”等地理标志产品线上畅销，形成特色农业为基础、乡村休闲旅游为亮点、农村电商为引擎的融合型产业新格局，有效扩大县域就业容量，促进农民增收。</w:t>
      </w:r>
    </w:p>
    <w:p w14:paraId="559FB1C1">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3" w:firstLineChars="200"/>
        <w:jc w:val="left"/>
        <w:textAlignment w:val="auto"/>
        <w:outlineLvl w:val="9"/>
        <w:rPr>
          <w:rFonts w:hint="eastAsia"/>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深化乡风文明建设焕发乡村新气象。</w:t>
      </w:r>
      <w:r>
        <w:rPr>
          <w:rFonts w:hint="eastAsia" w:ascii="仿宋_GB2312" w:hAnsi="仿宋_GB2312" w:eastAsia="仿宋_GB2312" w:cs="仿宋_GB2312"/>
          <w:b w:val="0"/>
          <w:bCs w:val="0"/>
          <w:color w:val="auto"/>
          <w:sz w:val="32"/>
          <w:szCs w:val="32"/>
          <w:highlight w:val="none"/>
          <w:lang w:val="en-US" w:eastAsia="zh-CN"/>
        </w:rPr>
        <w:t>坚持物质文明与精神文明协同推进，通过传承优秀乡土文化与培育时代新风相结合，全面提升乡村社会文明程度。深入挖掘和保护宾阳特色文化资源，加大对宾阳炮龙文化、宾阳丝弦戏等非物质文化遗产的传承力度，支持其申报更高层级的非遗代表性项目，并推动炮龙文创、壮锦、竹编等特色手工业创新发展。大力推进蔡村等</w:t>
      </w:r>
      <w:r>
        <w:rPr>
          <w:rFonts w:hint="eastAsia" w:ascii="仿宋_GB2312" w:hAnsi="仿宋_GB2312" w:cs="仿宋_GB2312"/>
          <w:b w:val="0"/>
          <w:bCs w:val="0"/>
          <w:color w:val="auto"/>
          <w:sz w:val="32"/>
          <w:szCs w:val="32"/>
          <w:highlight w:val="none"/>
          <w:lang w:val="en-US" w:eastAsia="zh-CN"/>
        </w:rPr>
        <w:t>一批</w:t>
      </w:r>
      <w:r>
        <w:rPr>
          <w:rFonts w:hint="eastAsia" w:ascii="仿宋_GB2312" w:hAnsi="仿宋_GB2312" w:eastAsia="仿宋_GB2312" w:cs="仿宋_GB2312"/>
          <w:b w:val="0"/>
          <w:bCs w:val="0"/>
          <w:color w:val="auto"/>
          <w:sz w:val="32"/>
          <w:szCs w:val="32"/>
          <w:highlight w:val="none"/>
          <w:lang w:val="en-US" w:eastAsia="zh-CN"/>
        </w:rPr>
        <w:t>传统村落的保护修缮，让历史文化遗产在新时代焕发活力。常态化推进移风易俗，通过宣传教育、村规民约引导和先进典型示范，培育文明乡风、良好家风、淳朴民风。强化法治保障在乡村治理中的作用，在全县所有行政村培育农村学法用法示范户，推行“示范户+法律明白人”普法模式，提升乡村治理法治化水平。实施乡土人才培育行动，新增培育高素质农民，提升乡村教育医疗等公共服务水平，为焕发乡村文明新气象提供坚实的人才支撑和人文环境。</w:t>
      </w:r>
    </w:p>
    <w:p w14:paraId="369984DE">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37" w:name="_Toc14740"/>
      <w:bookmarkStart w:id="138" w:name="_Toc11270"/>
      <w:bookmarkStart w:id="139" w:name="_Toc14272"/>
      <w:bookmarkStart w:id="140" w:name="_Toc3957"/>
      <w:bookmarkStart w:id="141" w:name="_Toc7824"/>
      <w:r>
        <w:rPr>
          <w:rFonts w:hint="eastAsia"/>
          <w:color w:val="auto"/>
          <w:highlight w:val="none"/>
          <w:lang w:val="en-US" w:eastAsia="zh-CN"/>
        </w:rPr>
        <w:t xml:space="preserve">第三节 </w:t>
      </w:r>
      <w:bookmarkEnd w:id="137"/>
      <w:bookmarkEnd w:id="138"/>
      <w:r>
        <w:rPr>
          <w:rFonts w:hint="eastAsia"/>
          <w:color w:val="auto"/>
          <w:highlight w:val="none"/>
          <w:lang w:val="en-US" w:eastAsia="zh-CN"/>
        </w:rPr>
        <w:t>提升强农惠农富农政策实效</w:t>
      </w:r>
      <w:bookmarkEnd w:id="139"/>
      <w:bookmarkEnd w:id="140"/>
      <w:bookmarkEnd w:id="141"/>
    </w:p>
    <w:p w14:paraId="24271417">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健全多元投入与精准服务机制。</w:t>
      </w:r>
      <w:r>
        <w:rPr>
          <w:rFonts w:hint="default" w:ascii="仿宋_GB2312" w:hAnsi="仿宋_GB2312" w:eastAsia="仿宋_GB2312" w:cs="仿宋_GB2312"/>
          <w:b w:val="0"/>
          <w:bCs w:val="0"/>
          <w:color w:val="auto"/>
          <w:sz w:val="32"/>
          <w:szCs w:val="32"/>
          <w:highlight w:val="none"/>
          <w:lang w:val="en-US" w:eastAsia="zh-CN"/>
        </w:rPr>
        <w:t>构建财政优先保障、金融重点倾斜、社会资本积极参与的乡村振兴多元投入格局。</w:t>
      </w:r>
      <w:r>
        <w:rPr>
          <w:rFonts w:hint="eastAsia" w:ascii="仿宋_GB2312" w:hAnsi="仿宋_GB2312" w:eastAsia="仿宋_GB2312" w:cs="仿宋_GB2312"/>
          <w:b w:val="0"/>
          <w:bCs w:val="0"/>
          <w:color w:val="auto"/>
          <w:sz w:val="32"/>
          <w:szCs w:val="32"/>
          <w:highlight w:val="none"/>
          <w:lang w:val="en-US" w:eastAsia="zh-CN"/>
        </w:rPr>
        <w:t>加强农村集体资金、资产、资源管理。</w:t>
      </w:r>
      <w:r>
        <w:rPr>
          <w:rFonts w:hint="default" w:ascii="仿宋_GB2312" w:hAnsi="仿宋_GB2312" w:eastAsia="仿宋_GB2312" w:cs="仿宋_GB2312"/>
          <w:b w:val="0"/>
          <w:bCs w:val="0"/>
          <w:color w:val="auto"/>
          <w:sz w:val="32"/>
          <w:szCs w:val="32"/>
          <w:highlight w:val="none"/>
          <w:lang w:val="en-US" w:eastAsia="zh-CN"/>
        </w:rPr>
        <w:t>强化政策性金融工具的引导作用，依托市县两级联动的产业发展母基金，精准投向现代农业产业园、特色农产品优势区等重大载体建设。深化农村金融改革，以农业经营主体“建档立卡”为基础，推进与“信贷直通车”服务的深度融合，引导金融机构创新开发贴合宾阳粮、糖、畜、禽等特色产业链的金融产品。完善政策性农业信贷担保体系，扩大对新型农业经营主体和小农户的担保覆盖面。积极探索农田水利设施保险等普惠金融险种，构建起覆盖农业生产、设施建设、市场风险的全链条金融保障网，显著提升金融服务的可得性、覆盖面和精准度。</w:t>
      </w:r>
    </w:p>
    <w:p w14:paraId="4CD1B32F">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完善产业联农带农利益联结机制。</w:t>
      </w:r>
      <w:r>
        <w:rPr>
          <w:rFonts w:hint="default" w:ascii="仿宋_GB2312" w:hAnsi="仿宋_GB2312" w:eastAsia="仿宋_GB2312" w:cs="仿宋_GB2312"/>
          <w:b w:val="0"/>
          <w:bCs w:val="0"/>
          <w:color w:val="auto"/>
          <w:sz w:val="32"/>
          <w:szCs w:val="32"/>
          <w:highlight w:val="none"/>
          <w:lang w:val="en-US" w:eastAsia="zh-CN"/>
        </w:rPr>
        <w:t>健全紧密型利益联结机制</w:t>
      </w:r>
      <w:r>
        <w:rPr>
          <w:rFonts w:hint="eastAsia" w:ascii="仿宋_GB2312" w:hAnsi="仿宋_GB2312" w:eastAsia="仿宋_GB2312" w:cs="仿宋_GB2312"/>
          <w:b w:val="0"/>
          <w:bCs w:val="0"/>
          <w:color w:val="auto"/>
          <w:sz w:val="32"/>
          <w:szCs w:val="32"/>
          <w:highlight w:val="none"/>
          <w:lang w:val="en-US" w:eastAsia="zh-CN"/>
        </w:rPr>
        <w:t>，</w:t>
      </w:r>
      <w:r>
        <w:rPr>
          <w:rFonts w:hint="default" w:ascii="仿宋_GB2312" w:hAnsi="仿宋_GB2312" w:eastAsia="仿宋_GB2312" w:cs="仿宋_GB2312"/>
          <w:b w:val="0"/>
          <w:bCs w:val="0"/>
          <w:color w:val="auto"/>
          <w:sz w:val="32"/>
          <w:szCs w:val="32"/>
          <w:highlight w:val="none"/>
          <w:lang w:val="en-US" w:eastAsia="zh-CN"/>
        </w:rPr>
        <w:t>推动产业发展惠及更多农户。全面推行农业产业化联合体模式，以龙头企业、合作社为引领，通过订单收购、保底分红、股份合作、吸纳就业等多种形式，引导小农户深度融入</w:t>
      </w:r>
      <w:r>
        <w:rPr>
          <w:rFonts w:hint="eastAsia" w:ascii="仿宋_GB2312" w:hAnsi="仿宋_GB2312" w:eastAsia="仿宋_GB2312" w:cs="仿宋_GB2312"/>
          <w:b w:val="0"/>
          <w:bCs w:val="0"/>
          <w:color w:val="auto"/>
          <w:sz w:val="32"/>
          <w:szCs w:val="32"/>
          <w:highlight w:val="none"/>
          <w:lang w:val="en-US" w:eastAsia="zh-CN"/>
        </w:rPr>
        <w:t>本地特色农业的产业链与价值链</w:t>
      </w:r>
      <w:r>
        <w:rPr>
          <w:rFonts w:hint="default" w:ascii="仿宋_GB2312" w:hAnsi="仿宋_GB2312" w:eastAsia="仿宋_GB2312" w:cs="仿宋_GB2312"/>
          <w:b w:val="0"/>
          <w:bCs w:val="0"/>
          <w:color w:val="auto"/>
          <w:sz w:val="32"/>
          <w:szCs w:val="32"/>
          <w:highlight w:val="none"/>
          <w:lang w:val="en-US" w:eastAsia="zh-CN"/>
        </w:rPr>
        <w:t>。完善</w:t>
      </w:r>
      <w:r>
        <w:rPr>
          <w:rFonts w:hint="eastAsia" w:ascii="仿宋_GB2312" w:hAnsi="仿宋_GB2312" w:cs="仿宋_GB2312"/>
          <w:b w:val="0"/>
          <w:bCs w:val="0"/>
          <w:color w:val="auto"/>
          <w:sz w:val="32"/>
          <w:szCs w:val="32"/>
          <w:highlight w:val="none"/>
          <w:lang w:val="en-US" w:eastAsia="zh-CN"/>
        </w:rPr>
        <w:t>对</w:t>
      </w:r>
      <w:r>
        <w:rPr>
          <w:rFonts w:hint="default" w:ascii="仿宋_GB2312" w:hAnsi="仿宋_GB2312" w:eastAsia="仿宋_GB2312" w:cs="仿宋_GB2312"/>
          <w:b w:val="0"/>
          <w:bCs w:val="0"/>
          <w:color w:val="auto"/>
          <w:sz w:val="32"/>
          <w:szCs w:val="32"/>
          <w:highlight w:val="none"/>
          <w:lang w:val="en-US" w:eastAsia="zh-CN"/>
        </w:rPr>
        <w:t>龙头企业、农民合作社等新型经营主体的扶持政策，建立政策享受与带动农户增收实效直接挂钩的评估机制。探索创新利益分配模式，鼓励和支持农产品加工、流通、销售等二三产业主体通过设立风险基金、利润返还等方式，将部分增值收益合理回流至初级产品生产环节和签约农户。借鉴先进地区经验，引导镇域内各村集体经济组织、农民合作社、种植养殖大户等，以</w:t>
      </w:r>
      <w:r>
        <w:rPr>
          <w:rFonts w:hint="eastAsia" w:ascii="仿宋_GB2312" w:hAnsi="仿宋_GB2312" w:cs="仿宋_GB2312"/>
          <w:b w:val="0"/>
          <w:bCs w:val="0"/>
          <w:color w:val="auto"/>
          <w:sz w:val="32"/>
          <w:szCs w:val="32"/>
          <w:highlight w:val="none"/>
          <w:lang w:val="en-US" w:eastAsia="zh-CN"/>
        </w:rPr>
        <w:t>资金、</w:t>
      </w:r>
      <w:r>
        <w:rPr>
          <w:rFonts w:hint="default" w:ascii="仿宋_GB2312" w:hAnsi="仿宋_GB2312" w:eastAsia="仿宋_GB2312" w:cs="仿宋_GB2312"/>
          <w:b w:val="0"/>
          <w:bCs w:val="0"/>
          <w:color w:val="auto"/>
          <w:sz w:val="32"/>
          <w:szCs w:val="32"/>
          <w:highlight w:val="none"/>
          <w:lang w:val="en-US" w:eastAsia="zh-CN"/>
        </w:rPr>
        <w:t>资产、资源入股方式组建镇级联合合作社或农业发展公司，整合分散的产业项目、品牌和销售渠道，提升整体市场竞争力与抗风险能力，确保农民稳定分享全产业链增值收益。</w:t>
      </w:r>
    </w:p>
    <w:p w14:paraId="06440AC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outlineLvl w:val="9"/>
        <w:rPr>
          <w:rFonts w:hint="eastAsia"/>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推进乡村资源系统整合与优化配置。</w:t>
      </w:r>
      <w:r>
        <w:rPr>
          <w:rFonts w:hint="default" w:ascii="仿宋_GB2312" w:hAnsi="仿宋_GB2312" w:eastAsia="仿宋_GB2312" w:cs="仿宋_GB2312"/>
          <w:b w:val="0"/>
          <w:bCs w:val="0"/>
          <w:color w:val="auto"/>
          <w:sz w:val="32"/>
          <w:szCs w:val="32"/>
          <w:highlight w:val="none"/>
          <w:lang w:val="en-US" w:eastAsia="zh-CN"/>
        </w:rPr>
        <w:t>系统谋划和推进乡村土地、资产、空间等资源的统筹整合与高效利用，为产业升级与乡村建设拓展空间。全面开展农村闲置宅基地、空心村和低效建设用地调查评估，建立分类台账。依据不同村庄的资源禀赋、区位条件和产业基础，实施差异化引导策略，支持</w:t>
      </w:r>
      <w:r>
        <w:rPr>
          <w:rFonts w:hint="eastAsia" w:ascii="仿宋_GB2312" w:hAnsi="仿宋_GB2312" w:eastAsia="仿宋_GB2312" w:cs="仿宋_GB2312"/>
          <w:b w:val="0"/>
          <w:bCs w:val="0"/>
          <w:color w:val="auto"/>
          <w:sz w:val="32"/>
          <w:szCs w:val="32"/>
          <w:highlight w:val="none"/>
          <w:lang w:val="en-US" w:eastAsia="zh-CN"/>
        </w:rPr>
        <w:t>邻近</w:t>
      </w:r>
      <w:r>
        <w:rPr>
          <w:rFonts w:hint="default" w:ascii="仿宋_GB2312" w:hAnsi="仿宋_GB2312" w:eastAsia="仿宋_GB2312" w:cs="仿宋_GB2312"/>
          <w:b w:val="0"/>
          <w:bCs w:val="0"/>
          <w:color w:val="auto"/>
          <w:sz w:val="32"/>
          <w:szCs w:val="32"/>
          <w:highlight w:val="none"/>
          <w:lang w:val="en-US" w:eastAsia="zh-CN"/>
        </w:rPr>
        <w:t>产业园区的村庄有序承接产业配套、物流仓储、休闲服务等功能，促进城乡要素融合。稳步实施以乡镇为基本单元的全域土地综合整治，通过农用地整理、建设用地复垦、生态修复等工程，优化农业生产、村庄建设、产业发展和生态保护空间布局。加大盘活利用力度，支持黎塘工业园区加快处置低效闲置工业用地，并引导将盘活经验向乡村延伸，鼓励对闲置校舍、厂房等集体资产进行改造利用，发展乡村车间、冷链物流、乡村旅游等新业态，全面激活乡村沉睡资源，增强内生发展动力与政策承载能力。</w:t>
      </w:r>
    </w:p>
    <w:bookmarkEnd w:id="129"/>
    <w:p w14:paraId="0A88FBC2">
      <w:pPr>
        <w:pStyle w:val="4"/>
        <w:ind w:firstLine="0" w:firstLineChars="0"/>
        <w:jc w:val="center"/>
        <w:rPr>
          <w:rFonts w:hint="eastAsia" w:ascii="Times New Roman" w:hAnsi="Times New Roman" w:eastAsia="楷体_GB2312"/>
          <w:b/>
          <w:bCs w:val="0"/>
          <w:color w:val="auto"/>
          <w:sz w:val="32"/>
          <w:szCs w:val="24"/>
          <w:highlight w:val="none"/>
          <w:u w:val="none"/>
          <w:lang w:val="en-US" w:eastAsia="zh-CN"/>
        </w:rPr>
      </w:pPr>
      <w:bookmarkStart w:id="142" w:name="_Toc24067"/>
      <w:bookmarkStart w:id="143" w:name="_Toc9338"/>
      <w:bookmarkStart w:id="144" w:name="_Toc15078"/>
      <w:bookmarkStart w:id="145" w:name="_Toc18128"/>
      <w:r>
        <w:rPr>
          <w:rFonts w:hint="eastAsia" w:ascii="Times New Roman" w:hAnsi="Times New Roman" w:eastAsia="楷体_GB2312"/>
          <w:b/>
          <w:bCs w:val="0"/>
          <w:color w:val="auto"/>
          <w:sz w:val="32"/>
          <w:szCs w:val="24"/>
          <w:highlight w:val="none"/>
          <w:u w:val="none"/>
          <w:lang w:val="en-US" w:eastAsia="zh-CN"/>
        </w:rPr>
        <w:t>第</w:t>
      </w:r>
      <w:r>
        <w:rPr>
          <w:rFonts w:hint="eastAsia" w:ascii="Times New Roman" w:hAnsi="Times New Roman"/>
          <w:b/>
          <w:bCs w:val="0"/>
          <w:color w:val="auto"/>
          <w:sz w:val="32"/>
          <w:szCs w:val="24"/>
          <w:highlight w:val="none"/>
          <w:u w:val="none"/>
          <w:lang w:val="en-US" w:eastAsia="zh-CN"/>
        </w:rPr>
        <w:t>四</w:t>
      </w:r>
      <w:r>
        <w:rPr>
          <w:rFonts w:hint="eastAsia" w:ascii="Times New Roman" w:hAnsi="Times New Roman" w:eastAsia="楷体_GB2312"/>
          <w:b/>
          <w:bCs w:val="0"/>
          <w:color w:val="auto"/>
          <w:sz w:val="32"/>
          <w:szCs w:val="24"/>
          <w:highlight w:val="none"/>
          <w:u w:val="none"/>
          <w:lang w:val="en-US" w:eastAsia="zh-CN"/>
        </w:rPr>
        <w:t xml:space="preserve">节 </w:t>
      </w:r>
      <w:r>
        <w:rPr>
          <w:rFonts w:hint="eastAsia" w:ascii="Times New Roman" w:hAnsi="Times New Roman"/>
          <w:b/>
          <w:bCs w:val="0"/>
          <w:color w:val="auto"/>
          <w:sz w:val="32"/>
          <w:szCs w:val="24"/>
          <w:highlight w:val="none"/>
          <w:u w:val="none"/>
          <w:lang w:val="en-US" w:eastAsia="zh-CN"/>
        </w:rPr>
        <w:t>统筹建立常态化防止返贫致贫机制</w:t>
      </w:r>
      <w:bookmarkEnd w:id="142"/>
      <w:bookmarkEnd w:id="143"/>
      <w:bookmarkEnd w:id="144"/>
    </w:p>
    <w:p w14:paraId="500D2A74">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坚持底线思维筑牢兜底保障防线。</w:t>
      </w:r>
      <w:r>
        <w:rPr>
          <w:rFonts w:hint="eastAsia" w:ascii="仿宋_GB2312" w:hAnsi="仿宋_GB2312" w:eastAsia="仿宋_GB2312" w:cs="仿宋_GB2312"/>
          <w:b w:val="0"/>
          <w:bCs w:val="0"/>
          <w:color w:val="auto"/>
          <w:sz w:val="32"/>
          <w:szCs w:val="32"/>
          <w:highlight w:val="none"/>
          <w:lang w:val="en-US" w:eastAsia="zh-CN"/>
        </w:rPr>
        <w:t>坚持把巩固拓展脱贫攻坚成果作为底线任务，确保过渡期后主要帮扶政策保持总体稳定与有效衔接。持续巩固提升“三保障”和饮水安全保障成果，完善兜底式社会保障网络。通过强化监测预警和即时干预，牢牢守住不发生规模性返贫致贫的底线，为乡村振兴奠定坚实基础。</w:t>
      </w:r>
    </w:p>
    <w:p w14:paraId="38E86AC9">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创新帮扶模式增强内生发展动力。</w:t>
      </w:r>
      <w:r>
        <w:rPr>
          <w:rFonts w:hint="eastAsia" w:ascii="仿宋_GB2312" w:hAnsi="仿宋_GB2312" w:eastAsia="仿宋_GB2312" w:cs="仿宋_GB2312"/>
          <w:b w:val="0"/>
          <w:bCs w:val="0"/>
          <w:color w:val="auto"/>
          <w:sz w:val="32"/>
          <w:szCs w:val="32"/>
          <w:highlight w:val="none"/>
          <w:lang w:val="en-US" w:eastAsia="zh-CN"/>
        </w:rPr>
        <w:t>强化开发式帮扶，将帮扶与增强内生发展能力紧密结合。依托县域特色农业全产业链，创新推广“龙头企业+合作社+农户”等多元收益共享模式，建立健全紧密的利益联结机制。定向开展高素质农民培育和实用技能培训，提升重点人群的产业参与能力和就业竞争力。通过发展产业、稳定就业，持续增强脱贫地区和脱贫群众的自我发展能力与可持续增收能力。</w:t>
      </w:r>
    </w:p>
    <w:p w14:paraId="1B1ED70A">
      <w:pPr>
        <w:keepNext w:val="0"/>
        <w:keepLines w:val="0"/>
        <w:numPr>
          <w:ilvl w:val="0"/>
          <w:numId w:val="0"/>
        </w:numPr>
        <w:ind w:firstLine="643" w:firstLineChars="200"/>
        <w:rPr>
          <w:rFonts w:hint="eastAsia" w:ascii="仿宋_GB2312" w:hAnsi="仿宋_GB2312" w:cs="仿宋_GB2312"/>
          <w:color w:val="auto"/>
          <w:highlight w:val="none"/>
          <w:lang w:val="en-US" w:eastAsia="zh-CN"/>
        </w:rPr>
        <w:sectPr>
          <w:pgSz w:w="11906" w:h="16838"/>
          <w:pgMar w:top="1440" w:right="1800" w:bottom="1440" w:left="1800" w:header="851" w:footer="992" w:gutter="0"/>
          <w:pgNumType w:fmt="numberInDash"/>
          <w:cols w:space="425" w:num="1"/>
          <w:docGrid w:type="lines" w:linePitch="312" w:charSpace="0"/>
        </w:sectPr>
      </w:pPr>
      <w:r>
        <w:rPr>
          <w:rFonts w:hint="eastAsia" w:ascii="仿宋_GB2312" w:hAnsi="仿宋_GB2312" w:eastAsia="仿宋_GB2312" w:cs="仿宋_GB2312"/>
          <w:b/>
          <w:bCs/>
          <w:color w:val="auto"/>
          <w:sz w:val="32"/>
          <w:szCs w:val="32"/>
          <w:highlight w:val="none"/>
          <w:lang w:val="en-US" w:eastAsia="zh-CN"/>
        </w:rPr>
        <w:t>强化资产监管推动成果长效衔接。</w:t>
      </w:r>
      <w:r>
        <w:rPr>
          <w:rFonts w:hint="eastAsia" w:ascii="仿宋_GB2312" w:hAnsi="仿宋_GB2312" w:eastAsia="仿宋_GB2312" w:cs="仿宋_GB2312"/>
          <w:b w:val="0"/>
          <w:bCs w:val="0"/>
          <w:color w:val="auto"/>
          <w:sz w:val="32"/>
          <w:szCs w:val="32"/>
          <w:highlight w:val="none"/>
          <w:lang w:val="en-US" w:eastAsia="zh-CN"/>
        </w:rPr>
        <w:t>强化乡村振兴领域项目资产的后续运营和监督管理，建立健全产权明晰、权责明确、管理规范、运行有效的长效管护机制，明确产权归属，落实管护责任，确保持续稳定发挥帮扶效益。以此为基础，系统推动巩固拓展脱贫攻坚成果同乡村全面振兴实现更高质量、更可持续的有效衔接，确保脱贫基础更加稳固、成效更可持续。</w:t>
      </w:r>
    </w:p>
    <w:p w14:paraId="318308D6">
      <w:pPr>
        <w:pStyle w:val="3"/>
        <w:pageBreakBefore w:val="0"/>
        <w:kinsoku/>
        <w:wordWrap/>
        <w:overflowPunct/>
        <w:topLinePunct w:val="0"/>
        <w:autoSpaceDE/>
        <w:autoSpaceDN/>
        <w:bidi w:val="0"/>
        <w:adjustRightInd/>
        <w:snapToGrid/>
        <w:ind w:firstLine="0" w:firstLineChars="0"/>
        <w:jc w:val="center"/>
        <w:textAlignment w:val="auto"/>
        <w:rPr>
          <w:rFonts w:hint="eastAsia"/>
          <w:color w:val="auto"/>
          <w:highlight w:val="none"/>
          <w:lang w:val="en-US" w:eastAsia="zh-CN"/>
        </w:rPr>
      </w:pPr>
      <w:bookmarkStart w:id="146" w:name="_Toc26502"/>
      <w:bookmarkStart w:id="147" w:name="_Toc9998"/>
      <w:bookmarkStart w:id="148" w:name="_Toc4873"/>
      <w:bookmarkStart w:id="149" w:name="_Toc19763"/>
      <w:r>
        <w:rPr>
          <w:rFonts w:hint="eastAsia"/>
          <w:color w:val="auto"/>
          <w:highlight w:val="none"/>
          <w:lang w:val="en-US" w:eastAsia="zh-CN"/>
        </w:rPr>
        <w:t xml:space="preserve">第七章 </w:t>
      </w:r>
      <w:r>
        <w:rPr>
          <w:rFonts w:hint="eastAsia" w:ascii="黑体" w:hAnsi="黑体" w:eastAsia="黑体" w:cs="黑体"/>
          <w:color w:val="auto"/>
          <w:spacing w:val="-6"/>
          <w:sz w:val="32"/>
          <w:szCs w:val="32"/>
          <w:highlight w:val="none"/>
          <w:lang w:val="en-US" w:eastAsia="zh-CN"/>
        </w:rPr>
        <w:t>发挥经济体制改革牵引作用</w:t>
      </w:r>
      <w:r>
        <w:rPr>
          <w:rFonts w:hint="eastAsia" w:eastAsia="黑体" w:asciiTheme="minorAscii" w:hAnsiTheme="minorAscii"/>
          <w:b w:val="0"/>
          <w:bCs w:val="0"/>
          <w:color w:val="auto"/>
          <w:sz w:val="32"/>
          <w:szCs w:val="32"/>
          <w:highlight w:val="none"/>
          <w:u w:val="none"/>
          <w:lang w:val="en-US" w:eastAsia="zh-CN"/>
        </w:rPr>
        <w:t>，增强高质量发展内生动力</w:t>
      </w:r>
      <w:bookmarkEnd w:id="145"/>
      <w:bookmarkEnd w:id="146"/>
      <w:bookmarkEnd w:id="147"/>
      <w:bookmarkEnd w:id="148"/>
      <w:bookmarkEnd w:id="149"/>
    </w:p>
    <w:p w14:paraId="7864332F">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ascii="仿宋_GB2312" w:hAnsi="仿宋_GB2312" w:eastAsia="仿宋_GB2312" w:cs="仿宋_GB2312"/>
          <w:color w:val="auto"/>
          <w:highlight w:val="none"/>
          <w:lang w:val="en-US" w:eastAsia="zh-CN"/>
        </w:rPr>
      </w:pPr>
      <w:bookmarkStart w:id="150" w:name="_Toc3590"/>
      <w:bookmarkStart w:id="151" w:name="_Toc16185"/>
      <w:bookmarkStart w:id="152" w:name="_Toc28000"/>
      <w:r>
        <w:rPr>
          <w:rFonts w:hint="eastAsia" w:ascii="仿宋_GB2312" w:hAnsi="仿宋_GB2312" w:eastAsia="仿宋_GB2312" w:cs="仿宋_GB2312"/>
          <w:color w:val="auto"/>
          <w:highlight w:val="none"/>
          <w:lang w:val="en-US" w:eastAsia="zh-CN"/>
        </w:rPr>
        <w:t>坚持社会主义市场经济改革方向，发挥经济体制改革牵引作用，聚焦激发市场主体活力、深化要素市场化配置、提升治理效能，破解制约我县高质量发展的体制机制障碍。通过改革优化市场环境、畅通要素循环、激发社会创造力，为构建具有宾阳特色的现代化产业体系、培育新质生产力、增强县域经济发展韧性与竞争力注入强劲动力。</w:t>
      </w:r>
    </w:p>
    <w:p w14:paraId="33C981F0">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53" w:name="_Toc30441"/>
      <w:bookmarkStart w:id="154" w:name="_Toc13515"/>
      <w:bookmarkStart w:id="155" w:name="_Toc22524"/>
      <w:r>
        <w:rPr>
          <w:rFonts w:hint="eastAsia"/>
          <w:color w:val="auto"/>
          <w:highlight w:val="none"/>
          <w:lang w:val="en-US" w:eastAsia="zh-CN"/>
        </w:rPr>
        <w:t xml:space="preserve">第一节 </w:t>
      </w:r>
      <w:r>
        <w:rPr>
          <w:rFonts w:hint="default" w:ascii="楷体_GB2312" w:hAnsi="楷体_GB2312" w:eastAsia="楷体_GB2312" w:cs="楷体_GB2312"/>
          <w:b/>
          <w:bCs/>
          <w:color w:val="auto"/>
          <w:sz w:val="32"/>
          <w:szCs w:val="32"/>
          <w:highlight w:val="none"/>
          <w:u w:val="none"/>
          <w:lang w:val="en-US" w:eastAsia="zh-CN"/>
        </w:rPr>
        <w:t>充分激发各类经营主体活力</w:t>
      </w:r>
      <w:bookmarkEnd w:id="150"/>
      <w:bookmarkEnd w:id="151"/>
      <w:bookmarkEnd w:id="153"/>
      <w:bookmarkEnd w:id="154"/>
      <w:bookmarkEnd w:id="155"/>
    </w:p>
    <w:p w14:paraId="17E42DE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深化国资国企改革。</w:t>
      </w:r>
      <w:r>
        <w:rPr>
          <w:rFonts w:hint="eastAsia" w:ascii="仿宋_GB2312" w:hAnsi="仿宋_GB2312" w:cs="Times New Roman"/>
          <w:b w:val="0"/>
          <w:bCs w:val="0"/>
          <w:color w:val="auto"/>
          <w:kern w:val="0"/>
          <w:sz w:val="32"/>
          <w:szCs w:val="32"/>
          <w:highlight w:val="none"/>
          <w:lang w:val="en-US" w:eastAsia="zh-CN" w:bidi="ar"/>
        </w:rPr>
        <w:t>坚持和落实“两个毫不动摇”</w:t>
      </w:r>
      <w:r>
        <w:rPr>
          <w:rFonts w:hint="eastAsia" w:ascii="仿宋_GB2312" w:hAnsi="仿宋_GB2312" w:cs="Times New Roman"/>
          <w:color w:val="auto"/>
          <w:kern w:val="0"/>
          <w:sz w:val="32"/>
          <w:szCs w:val="32"/>
          <w:highlight w:val="none"/>
          <w:lang w:val="en-US" w:eastAsia="zh-CN" w:bidi="ar"/>
        </w:rPr>
        <w:t>，做强做优国有资本和县属国有企业。完善中国特色现代企业制度，健全市场化经营机制和管理监督机制。重点支持县属平台公司围绕宾阳县主导产业与重大项目，在园区开发运营、战略产业投资、基础设施与民生保障等领域发挥战略支撑作用，增强公共服务和战略支撑功能。推进县属国企整合与主业重塑，提升专业化运营与公共服务能力。</w:t>
      </w:r>
    </w:p>
    <w:p w14:paraId="20C7ACF9">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全力促进民营经济发展。</w:t>
      </w:r>
      <w:r>
        <w:rPr>
          <w:rFonts w:hint="eastAsia" w:ascii="仿宋_GB2312" w:hAnsi="仿宋_GB2312" w:cs="Times New Roman"/>
          <w:color w:val="auto"/>
          <w:kern w:val="0"/>
          <w:sz w:val="32"/>
          <w:szCs w:val="32"/>
          <w:highlight w:val="none"/>
          <w:lang w:val="en-US" w:eastAsia="zh-CN" w:bidi="ar"/>
        </w:rPr>
        <w:t>深入贯彻民营经济促进法，切实保障民营企业平等获取要素资源、公平参与市场竞争、有效保护合法权益。聚焦破解本地民营企业反映强烈的要素成本高、物流不畅等实际问题，依托现有招商服务平台与产学研合作机制，建立民营企业与本地职业院校的人才对接渠道。完善以信用为基础的企业服务体系，探索建立民营企业信用状况综合评价机制，并将其应用于“桂惠贷”等本地金融服务中。</w:t>
      </w:r>
    </w:p>
    <w:p w14:paraId="13467ED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支持中小企业与个体工商户发展。</w:t>
      </w:r>
      <w:r>
        <w:rPr>
          <w:rFonts w:hint="eastAsia" w:ascii="仿宋_GB2312" w:hAnsi="仿宋_GB2312" w:cs="Times New Roman"/>
          <w:b w:val="0"/>
          <w:bCs w:val="0"/>
          <w:color w:val="auto"/>
          <w:kern w:val="0"/>
          <w:sz w:val="32"/>
          <w:szCs w:val="32"/>
          <w:highlight w:val="none"/>
          <w:lang w:val="en-US" w:eastAsia="zh-CN" w:bidi="ar"/>
        </w:rPr>
        <w:t>完善中小企业服务体系。紧密围绕“古辣香米”“宾阳壮锦”“宾阳鸽”等本地特色产业与“小五金”等传统优势产业集群，提供针对性服务。推动大中小企业协同发展，鼓励龙头企业带动本地配套中小企业发展，支持个体工商户融入文旅、电商等新业态。落实各项税费优惠政策，优化黎塘工业园区等重点区域的个体工商户经营环境</w:t>
      </w:r>
      <w:r>
        <w:rPr>
          <w:rFonts w:hint="eastAsia" w:ascii="仿宋_GB2312" w:hAnsi="仿宋_GB2312" w:cs="Times New Roman"/>
          <w:color w:val="auto"/>
          <w:kern w:val="0"/>
          <w:sz w:val="32"/>
          <w:szCs w:val="32"/>
          <w:highlight w:val="none"/>
          <w:lang w:val="en-US" w:eastAsia="zh-CN" w:bidi="ar"/>
        </w:rPr>
        <w:t>。</w:t>
      </w:r>
    </w:p>
    <w:p w14:paraId="74DBB3E4">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加强产权执法司法保护。</w:t>
      </w:r>
      <w:r>
        <w:rPr>
          <w:rFonts w:hint="eastAsia" w:ascii="仿宋_GB2312" w:hAnsi="仿宋_GB2312" w:cs="Times New Roman"/>
          <w:b w:val="0"/>
          <w:bCs w:val="0"/>
          <w:color w:val="auto"/>
          <w:kern w:val="0"/>
          <w:sz w:val="32"/>
          <w:szCs w:val="32"/>
          <w:highlight w:val="none"/>
          <w:lang w:val="en-US" w:eastAsia="zh-CN" w:bidi="ar"/>
        </w:rPr>
        <w:t>完善对查封、扣押、冻结等强制措施的监督机制。强化对本土特色农产品地理标志、“老字号”品牌、非物质文化遗产的知识产权与产权保护。特别是在处置涉及本地传统产业转型升级、园区低效用地盘活等复杂案件时，依法审慎采取强制措施，畅通司法救济渠道，营造稳定公平的法治化营商环境</w:t>
      </w:r>
      <w:r>
        <w:rPr>
          <w:rFonts w:hint="eastAsia" w:ascii="仿宋_GB2312" w:hAnsi="仿宋_GB2312" w:cs="Times New Roman"/>
          <w:color w:val="auto"/>
          <w:kern w:val="0"/>
          <w:sz w:val="32"/>
          <w:szCs w:val="32"/>
          <w:highlight w:val="none"/>
          <w:lang w:val="en-US" w:eastAsia="zh-CN" w:bidi="ar"/>
        </w:rPr>
        <w:t>。</w:t>
      </w:r>
    </w:p>
    <w:p w14:paraId="24750C93">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弘扬优秀企业家精神。</w:t>
      </w:r>
      <w:r>
        <w:rPr>
          <w:rFonts w:hint="eastAsia" w:ascii="仿宋_GB2312" w:hAnsi="仿宋_GB2312" w:cs="Times New Roman"/>
          <w:color w:val="auto"/>
          <w:kern w:val="0"/>
          <w:sz w:val="32"/>
          <w:szCs w:val="32"/>
          <w:highlight w:val="none"/>
          <w:lang w:val="en-US" w:eastAsia="zh-CN" w:bidi="ar"/>
        </w:rPr>
        <w:t>营造尊重创新创业的市场环境，深入挖掘并宣传在推动“桂字号”“邕字号”升级、发展低空经济、传承创新本地非遗文化等方面涌现的优秀企业家典型。健全企业家参与涉企政策制定机制，在制定产业发展、招商引资等重要政策时充分听取行业协会与企业家意见。构建亲清统一的新型政商关系，营造尊重创新创业、勇于开拓进取的本地市场文化。</w:t>
      </w:r>
    </w:p>
    <w:p w14:paraId="0B175C1C">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default"/>
          <w:color w:val="auto"/>
          <w:highlight w:val="none"/>
          <w:lang w:val="en-US" w:eastAsia="zh-CN"/>
        </w:rPr>
      </w:pPr>
      <w:bookmarkStart w:id="156" w:name="_Toc10764"/>
      <w:bookmarkStart w:id="157" w:name="_Toc1712"/>
      <w:bookmarkStart w:id="158" w:name="_Toc29638"/>
      <w:bookmarkStart w:id="159" w:name="_Toc25260"/>
      <w:bookmarkStart w:id="160" w:name="_Toc5076"/>
      <w:bookmarkStart w:id="161" w:name="_Toc28058"/>
      <w:r>
        <w:rPr>
          <w:rFonts w:hint="eastAsia"/>
          <w:color w:val="auto"/>
          <w:highlight w:val="none"/>
          <w:lang w:val="en-US" w:eastAsia="zh-CN"/>
        </w:rPr>
        <w:t xml:space="preserve">第二节 </w:t>
      </w:r>
      <w:r>
        <w:rPr>
          <w:rFonts w:hint="eastAsia" w:ascii="楷体_GB2312" w:hAnsi="楷体_GB2312" w:eastAsia="楷体_GB2312" w:cs="楷体_GB2312"/>
          <w:b/>
          <w:bCs/>
          <w:color w:val="auto"/>
          <w:sz w:val="32"/>
          <w:szCs w:val="32"/>
          <w:highlight w:val="none"/>
          <w:u w:val="none"/>
          <w:lang w:val="en-US" w:eastAsia="zh-CN"/>
        </w:rPr>
        <w:t>深化</w:t>
      </w:r>
      <w:r>
        <w:rPr>
          <w:rFonts w:hint="default" w:ascii="楷体_GB2312" w:hAnsi="楷体_GB2312" w:eastAsia="楷体_GB2312" w:cs="楷体_GB2312"/>
          <w:b/>
          <w:bCs/>
          <w:color w:val="auto"/>
          <w:sz w:val="32"/>
          <w:szCs w:val="32"/>
          <w:highlight w:val="none"/>
          <w:u w:val="none"/>
          <w:lang w:val="en-US" w:eastAsia="zh-CN"/>
        </w:rPr>
        <w:t>要素</w:t>
      </w:r>
      <w:r>
        <w:rPr>
          <w:rFonts w:hint="eastAsia" w:ascii="楷体_GB2312" w:hAnsi="楷体_GB2312" w:eastAsia="楷体_GB2312" w:cs="楷体_GB2312"/>
          <w:b/>
          <w:bCs/>
          <w:color w:val="auto"/>
          <w:sz w:val="32"/>
          <w:szCs w:val="32"/>
          <w:highlight w:val="none"/>
          <w:u w:val="none"/>
          <w:lang w:val="en-US" w:eastAsia="zh-CN"/>
        </w:rPr>
        <w:t>市场化</w:t>
      </w:r>
      <w:r>
        <w:rPr>
          <w:rFonts w:hint="default" w:ascii="楷体_GB2312" w:hAnsi="楷体_GB2312" w:eastAsia="楷体_GB2312" w:cs="楷体_GB2312"/>
          <w:b/>
          <w:bCs/>
          <w:color w:val="auto"/>
          <w:sz w:val="32"/>
          <w:szCs w:val="32"/>
          <w:highlight w:val="none"/>
          <w:u w:val="none"/>
          <w:lang w:val="en-US" w:eastAsia="zh-CN"/>
        </w:rPr>
        <w:t>配置</w:t>
      </w:r>
      <w:r>
        <w:rPr>
          <w:rFonts w:hint="eastAsia" w:ascii="楷体_GB2312" w:hAnsi="楷体_GB2312" w:eastAsia="楷体_GB2312" w:cs="楷体_GB2312"/>
          <w:b/>
          <w:bCs/>
          <w:color w:val="auto"/>
          <w:sz w:val="32"/>
          <w:szCs w:val="32"/>
          <w:highlight w:val="none"/>
          <w:u w:val="none"/>
          <w:lang w:val="en-US" w:eastAsia="zh-CN"/>
        </w:rPr>
        <w:t>改革</w:t>
      </w:r>
      <w:bookmarkEnd w:id="156"/>
      <w:bookmarkEnd w:id="157"/>
      <w:bookmarkEnd w:id="158"/>
      <w:bookmarkEnd w:id="159"/>
      <w:bookmarkEnd w:id="160"/>
    </w:p>
    <w:p w14:paraId="49A4FE9F">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开展公共资源资产普查。</w:t>
      </w:r>
      <w:r>
        <w:rPr>
          <w:rFonts w:hint="eastAsia" w:ascii="仿宋_GB2312" w:hAnsi="仿宋_GB2312" w:cs="仿宋_GB2312"/>
          <w:b w:val="0"/>
          <w:bCs w:val="0"/>
          <w:color w:val="auto"/>
          <w:sz w:val="32"/>
          <w:szCs w:val="32"/>
          <w:highlight w:val="none"/>
          <w:lang w:val="en-US" w:eastAsia="zh-CN"/>
        </w:rPr>
        <w:t>全面开展公共资源资产普查，摸清土地、房产、基础设施等各类存量资产底数，掌握其权属、使用及收益状况，建立全县公共资源资产“一本账”，为市场化高效配置与效益提升奠定坚实基础。</w:t>
      </w:r>
    </w:p>
    <w:p w14:paraId="6279B34F">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深化土地要素市场化改革。</w:t>
      </w:r>
      <w:r>
        <w:rPr>
          <w:rFonts w:hint="eastAsia" w:ascii="仿宋_GB2312" w:hAnsi="仿宋_GB2312" w:cs="仿宋_GB2312"/>
          <w:b w:val="0"/>
          <w:bCs w:val="0"/>
          <w:color w:val="auto"/>
          <w:sz w:val="32"/>
          <w:szCs w:val="32"/>
          <w:highlight w:val="none"/>
          <w:lang w:val="en-US" w:eastAsia="zh-CN"/>
        </w:rPr>
        <w:t>建立健全城乡统一的建设用地市场，深化农村集体经营性建设用地入市试点。完善低效用地、闲置房产及存量基础设施的盘活利用政策，实现资源优化配置和效益提升。有序推进行政事业单位国有资产共享共用。在工业园区全面推行“标准地”出让改革。建立健全重大工程项目要素保障协调机制，优先保障重大产业及基础设施项目用地需求，全力推进黎塘工业园区低效闲置工业用地盘活攻坚。依法稳妥推动司法判决执行与破产制度有机衔接，有效盘活涉诉资产。</w:t>
      </w:r>
    </w:p>
    <w:p w14:paraId="4C1304C4">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落实资源性产品价格改革。</w:t>
      </w:r>
      <w:r>
        <w:rPr>
          <w:rFonts w:hint="eastAsia" w:ascii="仿宋_GB2312" w:hAnsi="仿宋_GB2312" w:cs="仿宋_GB2312"/>
          <w:b w:val="0"/>
          <w:bCs w:val="0"/>
          <w:color w:val="auto"/>
          <w:sz w:val="32"/>
          <w:szCs w:val="32"/>
          <w:highlight w:val="none"/>
          <w:lang w:val="en-US" w:eastAsia="zh-CN"/>
        </w:rPr>
        <w:t>及时落实上级关于水、电、气等能源资源领域的价格改革政策，发挥价格杠杆作用，促进资源节约和高效利用。</w:t>
      </w:r>
    </w:p>
    <w:p w14:paraId="07FD76D0">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强化人才与科技要素支撑。</w:t>
      </w:r>
      <w:r>
        <w:rPr>
          <w:rFonts w:hint="eastAsia" w:ascii="仿宋_GB2312" w:hAnsi="仿宋_GB2312" w:cs="仿宋_GB2312"/>
          <w:b w:val="0"/>
          <w:bCs w:val="0"/>
          <w:color w:val="auto"/>
          <w:sz w:val="32"/>
          <w:szCs w:val="32"/>
          <w:highlight w:val="none"/>
          <w:lang w:val="en-US" w:eastAsia="zh-CN"/>
        </w:rPr>
        <w:t>强化人才支撑，畅通劳动力市场流动。深化职业教育产教融合及与高等院校合作，支持县职校与高校共建无人机驾驶等实训基地，开设订单班。培育转化高效的技术市场，促进新技术在低空经济、新能源新材料等重点产业的应用场景开放与转化。加大本土技能人才和专业技术人才的培养引进力度。</w:t>
      </w:r>
    </w:p>
    <w:p w14:paraId="0B264E3B">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优化金融服务体系。</w:t>
      </w:r>
      <w:r>
        <w:rPr>
          <w:rFonts w:hint="eastAsia" w:ascii="仿宋_GB2312" w:hAnsi="仿宋_GB2312" w:cs="仿宋_GB2312"/>
          <w:b w:val="0"/>
          <w:bCs w:val="0"/>
          <w:color w:val="auto"/>
          <w:sz w:val="32"/>
          <w:szCs w:val="32"/>
          <w:highlight w:val="none"/>
          <w:lang w:val="en-US" w:eastAsia="zh-CN"/>
        </w:rPr>
        <w:t>完善多层次金融服务体系，围绕科技金融、绿色金融、普惠金融、养老金融、数字金融等重点方向精准发力。用好用活上级政府产业引导基金，吸引社会资本共同设立子基金，重点支持战略性新兴产业发展。鼓励金融机构创新产品服务，加大对中小微企业、科技创新、绿色发展的信贷支持。优化金融生态环境，加强银企对接，降低企业融资成本。</w:t>
      </w:r>
    </w:p>
    <w:p w14:paraId="417C0A31">
      <w:pPr>
        <w:pageBreakBefore w:val="0"/>
        <w:numPr>
          <w:ilvl w:val="9"/>
          <w:numId w:val="0"/>
        </w:numPr>
        <w:kinsoku/>
        <w:wordWrap/>
        <w:overflowPunct/>
        <w:topLinePunct w:val="0"/>
        <w:autoSpaceDE/>
        <w:autoSpaceDN/>
        <w:bidi w:val="0"/>
        <w:adjustRightInd/>
        <w:snapToGrid/>
        <w:ind w:leftChars="0"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bCs/>
          <w:color w:val="auto"/>
          <w:sz w:val="32"/>
          <w:szCs w:val="32"/>
          <w:highlight w:val="none"/>
          <w:lang w:val="en-US" w:eastAsia="zh-CN"/>
        </w:rPr>
        <w:t>加快公共数据资源开发利用。</w:t>
      </w:r>
      <w:r>
        <w:rPr>
          <w:rFonts w:hint="eastAsia" w:ascii="仿宋_GB2312" w:hAnsi="仿宋_GB2312" w:cs="仿宋_GB2312"/>
          <w:b w:val="0"/>
          <w:bCs w:val="0"/>
          <w:color w:val="auto"/>
          <w:sz w:val="32"/>
          <w:szCs w:val="32"/>
          <w:highlight w:val="none"/>
          <w:lang w:val="en-US" w:eastAsia="zh-CN"/>
        </w:rPr>
        <w:t>探索推进公共数据资源的分类分级、确权授权与开放共享。在保障数据安全与个人隐私的前提下，推动公共数据在产业发展、城市治理、民生服务等领域的场景化应用。鼓励市场主体对公共数据进行深度挖掘和价值创造，培育数据要素市场，释放数据要素潜能，赋能经济社会数字化转型。</w:t>
      </w:r>
    </w:p>
    <w:p w14:paraId="65037EDE">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62" w:name="_Toc14476"/>
      <w:bookmarkStart w:id="163" w:name="_Toc15652"/>
      <w:bookmarkStart w:id="164" w:name="_Toc10346"/>
      <w:bookmarkStart w:id="165" w:name="_Toc17383"/>
      <w:r>
        <w:rPr>
          <w:rFonts w:hint="eastAsia"/>
          <w:color w:val="auto"/>
          <w:highlight w:val="none"/>
          <w:lang w:val="en-US" w:eastAsia="zh-CN"/>
        </w:rPr>
        <w:t xml:space="preserve">第三节 </w:t>
      </w:r>
      <w:r>
        <w:rPr>
          <w:rFonts w:hint="default" w:ascii="楷体_GB2312" w:hAnsi="楷体_GB2312" w:eastAsia="楷体_GB2312" w:cs="楷体_GB2312"/>
          <w:b/>
          <w:bCs/>
          <w:color w:val="auto"/>
          <w:sz w:val="32"/>
          <w:szCs w:val="32"/>
          <w:highlight w:val="none"/>
          <w:u w:val="none" w:color="auto"/>
          <w:lang w:val="en-US" w:eastAsia="zh-CN"/>
        </w:rPr>
        <w:t>提高</w:t>
      </w:r>
      <w:r>
        <w:rPr>
          <w:rFonts w:hint="eastAsia" w:ascii="楷体_GB2312" w:hAnsi="楷体_GB2312" w:eastAsia="楷体_GB2312" w:cs="楷体_GB2312"/>
          <w:b/>
          <w:bCs/>
          <w:color w:val="auto"/>
          <w:sz w:val="32"/>
          <w:szCs w:val="32"/>
          <w:highlight w:val="none"/>
          <w:u w:val="none" w:color="auto"/>
          <w:lang w:val="en-US" w:eastAsia="zh-CN"/>
        </w:rPr>
        <w:t>服务经济发展</w:t>
      </w:r>
      <w:r>
        <w:rPr>
          <w:rFonts w:hint="eastAsia" w:ascii="楷体_GB2312" w:hAnsi="楷体_GB2312" w:eastAsia="楷体_GB2312" w:cs="楷体_GB2312"/>
          <w:b/>
          <w:bCs/>
          <w:color w:val="auto"/>
          <w:sz w:val="32"/>
          <w:szCs w:val="32"/>
          <w:highlight w:val="none"/>
          <w:u w:val="none"/>
          <w:lang w:val="en-US" w:eastAsia="zh-CN"/>
        </w:rPr>
        <w:t>效能</w:t>
      </w:r>
      <w:bookmarkEnd w:id="161"/>
      <w:bookmarkEnd w:id="162"/>
      <w:bookmarkEnd w:id="163"/>
      <w:bookmarkEnd w:id="164"/>
      <w:bookmarkEnd w:id="165"/>
    </w:p>
    <w:p w14:paraId="63393F23">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强化发展规划的战略导向与衔接。</w:t>
      </w:r>
      <w:r>
        <w:rPr>
          <w:rFonts w:hint="default" w:ascii="仿宋_GB2312" w:hAnsi="仿宋_GB2312" w:eastAsia="仿宋_GB2312" w:cs="Times New Roman"/>
          <w:b w:val="0"/>
          <w:bCs w:val="0"/>
          <w:color w:val="auto"/>
          <w:kern w:val="0"/>
          <w:sz w:val="32"/>
          <w:szCs w:val="32"/>
          <w:highlight w:val="none"/>
          <w:lang w:val="en-US" w:eastAsia="zh-CN" w:bidi="ar"/>
        </w:rPr>
        <w:t>健全年度国民经济和社会发展计划与本规划纲要的有效衔接机制，确保规划确定的重大战略、重点任务和重大项目在年度计划中得到具体落实和资源保障。加强对规划实施情况的动态监测、中期评估和总结评估，根据形势变化依法对规划进行调整优化，增强规划的战略性、指导性和约束力。强化财政、产业、投资、区域等各类政策的协同配合，确保同向发力，提升宏观经济治理的整体效能。</w:t>
      </w:r>
    </w:p>
    <w:p w14:paraId="3E0FB3C2">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加强财政科学管理与预算绩效。</w:t>
      </w:r>
      <w:r>
        <w:rPr>
          <w:rFonts w:hint="default" w:ascii="仿宋_GB2312" w:hAnsi="仿宋_GB2312" w:eastAsia="仿宋_GB2312" w:cs="Times New Roman"/>
          <w:b w:val="0"/>
          <w:bCs w:val="0"/>
          <w:color w:val="auto"/>
          <w:kern w:val="0"/>
          <w:sz w:val="32"/>
          <w:szCs w:val="32"/>
          <w:highlight w:val="none"/>
          <w:lang w:val="en-US" w:eastAsia="zh-CN" w:bidi="ar"/>
        </w:rPr>
        <w:t>加强财政科学管理，强化财源建设，着力培育和壮大本地税源，强化税收征管，切实增强地方财政实力，保障财政收入稳定增长。强化财政资源和预算统筹，深化零基预算改革，优化财政支出结构，优先保障“十五五”重大战略任务、基本民生支出及“三保”需求。强化预算绩效管理与财会监督，提高财政资源配置效率和资金使用效益。</w:t>
      </w:r>
    </w:p>
    <w:p w14:paraId="1B965A9B">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优化金融服务与政策传导。</w:t>
      </w:r>
      <w:r>
        <w:rPr>
          <w:rFonts w:hint="default" w:ascii="仿宋_GB2312" w:hAnsi="仿宋_GB2312" w:eastAsia="仿宋_GB2312" w:cs="Times New Roman"/>
          <w:b w:val="0"/>
          <w:bCs w:val="0"/>
          <w:color w:val="auto"/>
          <w:kern w:val="0"/>
          <w:sz w:val="32"/>
          <w:szCs w:val="32"/>
          <w:highlight w:val="none"/>
          <w:lang w:val="en-US" w:eastAsia="zh-CN" w:bidi="ar"/>
        </w:rPr>
        <w:t>强化金融政策传导与协同治理，畅通货币政策传导机制，实施“人工智能+金融”应用，推动金融资源与人工智能等新质生产力发展双向赋能。推动科技金融、绿色金融、普惠金融发展，鼓励金融机构创新和丰富养老金融服务与产品。优化融资担保体系，完善金融服务实体经济政策，支持优质企业成长。稳步推进数字人民币试点应用环境建设。同时，积极防范化解风险，加强政府债务和金融风险监测。</w:t>
      </w:r>
    </w:p>
    <w:p w14:paraId="3CD1BEC7">
      <w:pPr>
        <w:keepNext w:val="0"/>
        <w:keepLines w:val="0"/>
        <w:pageBreakBefore w:val="0"/>
        <w:kinsoku/>
        <w:wordWrap/>
        <w:overflowPunct/>
        <w:topLinePunct w:val="0"/>
        <w:autoSpaceDE/>
        <w:autoSpaceDN/>
        <w:bidi w:val="0"/>
        <w:adjustRightInd/>
        <w:snapToGrid/>
        <w:ind w:firstLine="560" w:firstLineChars="0"/>
        <w:jc w:val="left"/>
        <w:textAlignment w:val="auto"/>
        <w:rPr>
          <w:rFonts w:hint="eastAsia" w:cs="Times New Roman" w:asciiTheme="minorAscii" w:hAnsiTheme="minorAscii"/>
          <w:b/>
          <w:bCs w:val="0"/>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r>
        <w:rPr>
          <w:rFonts w:hint="default" w:ascii="仿宋_GB2312" w:hAnsi="仿宋_GB2312" w:eastAsia="仿宋_GB2312" w:cs="Times New Roman"/>
          <w:b/>
          <w:bCs/>
          <w:color w:val="auto"/>
          <w:kern w:val="0"/>
          <w:sz w:val="32"/>
          <w:szCs w:val="32"/>
          <w:highlight w:val="none"/>
          <w:lang w:val="en-US" w:eastAsia="zh-CN" w:bidi="ar"/>
        </w:rPr>
        <w:t>深化园区体制机制改革。</w:t>
      </w:r>
      <w:r>
        <w:rPr>
          <w:rFonts w:hint="default" w:ascii="仿宋_GB2312" w:hAnsi="仿宋_GB2312" w:eastAsia="仿宋_GB2312" w:cs="Times New Roman"/>
          <w:b w:val="0"/>
          <w:bCs w:val="0"/>
          <w:color w:val="auto"/>
          <w:kern w:val="0"/>
          <w:sz w:val="32"/>
          <w:szCs w:val="32"/>
          <w:highlight w:val="none"/>
          <w:lang w:val="en-US" w:eastAsia="zh-CN" w:bidi="ar"/>
        </w:rPr>
        <w:t>按照“八个要”和“四个一流”目标要求，立足“一区多园”布局</w:t>
      </w:r>
      <w:r>
        <w:rPr>
          <w:rFonts w:hint="eastAsia" w:ascii="仿宋_GB2312" w:hAnsi="仿宋_GB2312" w:cs="Times New Roman"/>
          <w:b w:val="0"/>
          <w:bCs w:val="0"/>
          <w:color w:val="auto"/>
          <w:kern w:val="0"/>
          <w:sz w:val="32"/>
          <w:szCs w:val="32"/>
          <w:highlight w:val="none"/>
          <w:lang w:val="en-US" w:eastAsia="zh-CN" w:bidi="ar"/>
        </w:rPr>
        <w:t>，</w:t>
      </w:r>
      <w:r>
        <w:rPr>
          <w:rFonts w:hint="default" w:ascii="仿宋_GB2312" w:hAnsi="仿宋_GB2312" w:eastAsia="仿宋_GB2312" w:cs="Times New Roman"/>
          <w:b w:val="0"/>
          <w:bCs w:val="0"/>
          <w:color w:val="auto"/>
          <w:kern w:val="0"/>
          <w:sz w:val="32"/>
          <w:szCs w:val="32"/>
          <w:highlight w:val="none"/>
          <w:lang w:val="en-US" w:eastAsia="zh-CN" w:bidi="ar"/>
        </w:rPr>
        <w:t>进一步完善黎塘工业园区“区镇合一”管理体制</w:t>
      </w:r>
      <w:r>
        <w:rPr>
          <w:rFonts w:hint="eastAsia" w:ascii="仿宋_GB2312" w:hAnsi="仿宋_GB2312" w:cs="Times New Roman"/>
          <w:b w:val="0"/>
          <w:bCs w:val="0"/>
          <w:color w:val="auto"/>
          <w:kern w:val="0"/>
          <w:sz w:val="32"/>
          <w:szCs w:val="32"/>
          <w:highlight w:val="none"/>
          <w:lang w:val="en-US" w:eastAsia="zh-CN" w:bidi="ar"/>
        </w:rPr>
        <w:t>，理顺管理架构与权责分工，推动行政资源高效整合</w:t>
      </w:r>
      <w:r>
        <w:rPr>
          <w:rFonts w:hint="default" w:ascii="仿宋_GB2312" w:hAnsi="仿宋_GB2312" w:eastAsia="仿宋_GB2312" w:cs="Times New Roman"/>
          <w:b w:val="0"/>
          <w:bCs w:val="0"/>
          <w:color w:val="auto"/>
          <w:kern w:val="0"/>
          <w:sz w:val="32"/>
          <w:szCs w:val="32"/>
          <w:highlight w:val="none"/>
          <w:lang w:val="en-US" w:eastAsia="zh-CN" w:bidi="ar"/>
        </w:rPr>
        <w:t>。着力提升园区在规划布局、基础设施建设、企业服务、市场化运营等方面的专业化水平。通过体制机制创新，推动产业政策、土地指标、财政资金、人才资</w:t>
      </w:r>
      <w:r>
        <w:rPr>
          <w:rFonts w:hint="eastAsia" w:ascii="仿宋_GB2312" w:hAnsi="仿宋_GB2312" w:cs="Times New Roman"/>
          <w:b w:val="0"/>
          <w:bCs w:val="0"/>
          <w:color w:val="auto"/>
          <w:kern w:val="0"/>
          <w:sz w:val="32"/>
          <w:szCs w:val="32"/>
          <w:highlight w:val="none"/>
          <w:lang w:val="en-US" w:eastAsia="zh-CN" w:bidi="ar"/>
        </w:rPr>
        <w:t>源</w:t>
      </w:r>
      <w:r>
        <w:rPr>
          <w:rFonts w:hint="default" w:ascii="仿宋_GB2312" w:hAnsi="仿宋_GB2312" w:eastAsia="仿宋_GB2312" w:cs="Times New Roman"/>
          <w:b w:val="0"/>
          <w:bCs w:val="0"/>
          <w:color w:val="auto"/>
          <w:kern w:val="0"/>
          <w:sz w:val="32"/>
          <w:szCs w:val="32"/>
          <w:highlight w:val="none"/>
          <w:lang w:val="en-US" w:eastAsia="zh-CN" w:bidi="ar"/>
        </w:rPr>
        <w:t>等各类要素向园区集聚，全面提升园区发展能级。</w:t>
      </w:r>
      <w:bookmarkEnd w:id="152"/>
      <w:bookmarkStart w:id="166" w:name="_Toc16191"/>
    </w:p>
    <w:p w14:paraId="27228AFC">
      <w:pPr>
        <w:pStyle w:val="3"/>
        <w:pageBreakBefore w:val="0"/>
        <w:kinsoku/>
        <w:wordWrap/>
        <w:overflowPunct/>
        <w:topLinePunct w:val="0"/>
        <w:autoSpaceDE/>
        <w:autoSpaceDN/>
        <w:bidi w:val="0"/>
        <w:adjustRightInd/>
        <w:snapToGrid/>
        <w:ind w:firstLine="0" w:firstLineChars="0"/>
        <w:jc w:val="center"/>
        <w:textAlignment w:val="auto"/>
        <w:rPr>
          <w:rFonts w:hint="eastAsia" w:eastAsia="黑体" w:cs="Times New Roman" w:asciiTheme="minorAscii" w:hAnsiTheme="minorAscii"/>
          <w:b/>
          <w:bCs w:val="0"/>
          <w:color w:val="auto"/>
          <w:sz w:val="32"/>
          <w:szCs w:val="32"/>
          <w:highlight w:val="none"/>
        </w:rPr>
      </w:pPr>
      <w:bookmarkStart w:id="167" w:name="_Toc6934"/>
      <w:bookmarkStart w:id="168" w:name="_Toc30371"/>
      <w:bookmarkStart w:id="169" w:name="_Toc32038"/>
      <w:bookmarkStart w:id="170" w:name="_Toc23125"/>
      <w:r>
        <w:rPr>
          <w:rFonts w:hint="eastAsia" w:cs="Times New Roman" w:asciiTheme="minorAscii" w:hAnsiTheme="minorAscii"/>
          <w:b w:val="0"/>
          <w:bCs/>
          <w:color w:val="auto"/>
          <w:sz w:val="32"/>
          <w:szCs w:val="32"/>
          <w:highlight w:val="none"/>
          <w:lang w:val="en-US" w:eastAsia="zh-CN"/>
        </w:rPr>
        <w:t>第八章</w:t>
      </w:r>
      <w:r>
        <w:rPr>
          <w:rFonts w:hint="eastAsia" w:cs="Times New Roman" w:asciiTheme="minorAscii" w:hAnsiTheme="minorAscii"/>
          <w:b/>
          <w:bCs w:val="0"/>
          <w:color w:val="auto"/>
          <w:sz w:val="32"/>
          <w:szCs w:val="32"/>
          <w:highlight w:val="none"/>
          <w:lang w:val="en-US" w:eastAsia="zh-CN"/>
        </w:rPr>
        <w:t xml:space="preserve"> </w:t>
      </w:r>
      <w:r>
        <w:rPr>
          <w:rFonts w:hint="eastAsia" w:eastAsia="黑体" w:asciiTheme="minorAscii" w:hAnsiTheme="minorAscii" w:cstheme="minorBidi"/>
          <w:b w:val="0"/>
          <w:bCs w:val="0"/>
          <w:color w:val="auto"/>
          <w:sz w:val="32"/>
          <w:szCs w:val="32"/>
          <w:highlight w:val="none"/>
          <w:u w:val="none" w:color="auto"/>
          <w:lang w:val="en-US" w:eastAsia="zh-CN"/>
        </w:rPr>
        <w:t>主动融入交通枢纽</w:t>
      </w:r>
      <w:r>
        <w:rPr>
          <w:rFonts w:hint="eastAsia" w:eastAsia="黑体" w:asciiTheme="minorAscii" w:hAnsiTheme="minorAscii"/>
          <w:b w:val="0"/>
          <w:bCs w:val="0"/>
          <w:color w:val="auto"/>
          <w:sz w:val="32"/>
          <w:szCs w:val="32"/>
          <w:highlight w:val="none"/>
          <w:u w:val="none" w:color="auto"/>
          <w:lang w:val="en-US" w:eastAsia="zh-CN"/>
        </w:rPr>
        <w:t>节点</w:t>
      </w:r>
      <w:r>
        <w:rPr>
          <w:rFonts w:hint="eastAsia" w:eastAsia="黑体" w:asciiTheme="minorAscii" w:hAnsiTheme="minorAscii"/>
          <w:b w:val="0"/>
          <w:bCs w:val="0"/>
          <w:color w:val="auto"/>
          <w:sz w:val="32"/>
          <w:szCs w:val="32"/>
          <w:highlight w:val="none"/>
          <w:u w:val="none"/>
          <w:lang w:val="en-US" w:eastAsia="zh-CN"/>
        </w:rPr>
        <w:t>，塑造开放合作新优势</w:t>
      </w:r>
      <w:bookmarkEnd w:id="166"/>
      <w:bookmarkEnd w:id="167"/>
      <w:bookmarkEnd w:id="168"/>
      <w:bookmarkEnd w:id="169"/>
      <w:bookmarkEnd w:id="170"/>
    </w:p>
    <w:p w14:paraId="2EDAFD8E">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ascii="仿宋_GB2312" w:hAnsi="仿宋_GB2312" w:eastAsia="仿宋_GB2312" w:cs="仿宋_GB2312"/>
          <w:b w:val="0"/>
          <w:bCs/>
          <w:color w:val="auto"/>
          <w:highlight w:val="none"/>
        </w:rPr>
      </w:pPr>
      <w:bookmarkStart w:id="171" w:name="_Toc1182"/>
      <w:bookmarkStart w:id="172" w:name="_Toc21562"/>
      <w:bookmarkStart w:id="173" w:name="_Toc6294"/>
      <w:r>
        <w:rPr>
          <w:rFonts w:hint="eastAsia" w:ascii="仿宋_GB2312" w:hAnsi="仿宋_GB2312" w:eastAsia="仿宋_GB2312" w:cs="仿宋_GB2312"/>
          <w:b w:val="0"/>
          <w:bCs/>
          <w:color w:val="auto"/>
          <w:highlight w:val="none"/>
        </w:rPr>
        <w:t>扩大高水平对内对外开放，是激活</w:t>
      </w:r>
      <w:r>
        <w:rPr>
          <w:rFonts w:hint="eastAsia" w:ascii="仿宋_GB2312" w:hAnsi="仿宋_GB2312" w:cs="仿宋_GB2312"/>
          <w:b w:val="0"/>
          <w:bCs/>
          <w:color w:val="auto"/>
          <w:highlight w:val="none"/>
          <w:lang w:val="en-US" w:eastAsia="zh-CN"/>
        </w:rPr>
        <w:t>宾阳县</w:t>
      </w:r>
      <w:r>
        <w:rPr>
          <w:rFonts w:hint="eastAsia" w:ascii="仿宋_GB2312" w:hAnsi="仿宋_GB2312" w:eastAsia="仿宋_GB2312" w:cs="仿宋_GB2312"/>
          <w:b w:val="0"/>
          <w:bCs/>
          <w:color w:val="auto"/>
          <w:highlight w:val="none"/>
        </w:rPr>
        <w:t>发展潜力的关键路径。必须牢牢把握国家构建新发展格局的重大机遇，全面落实南宁市建设面向东盟开放合作的国际化大都市、全国性综合交通枢纽城市等重大战略部署。立足宾阳</w:t>
      </w:r>
      <w:r>
        <w:rPr>
          <w:rFonts w:hint="eastAsia" w:ascii="仿宋_GB2312" w:hAnsi="仿宋_GB2312" w:cs="仿宋_GB2312"/>
          <w:b w:val="0"/>
          <w:bCs/>
          <w:color w:val="auto"/>
          <w:highlight w:val="none"/>
          <w:lang w:val="en-US" w:eastAsia="zh-CN"/>
        </w:rPr>
        <w:t>县</w:t>
      </w:r>
      <w:r>
        <w:rPr>
          <w:rFonts w:hint="eastAsia" w:ascii="仿宋_GB2312" w:hAnsi="仿宋_GB2312" w:eastAsia="仿宋_GB2312" w:cs="仿宋_GB2312"/>
          <w:b w:val="0"/>
          <w:bCs/>
          <w:color w:val="auto"/>
          <w:highlight w:val="none"/>
        </w:rPr>
        <w:t>作为南宁市东北部区域门户的重要定位，依托</w:t>
      </w:r>
      <w:r>
        <w:rPr>
          <w:rFonts w:hint="eastAsia" w:ascii="仿宋_GB2312" w:hAnsi="仿宋_GB2312" w:cs="仿宋_GB2312"/>
          <w:b w:val="0"/>
          <w:bCs/>
          <w:color w:val="auto"/>
          <w:highlight w:val="none"/>
          <w:lang w:val="en-US" w:eastAsia="zh-CN"/>
        </w:rPr>
        <w:t>宾阳县</w:t>
      </w:r>
      <w:r>
        <w:rPr>
          <w:rFonts w:hint="eastAsia" w:ascii="仿宋_GB2312" w:hAnsi="仿宋_GB2312" w:eastAsia="仿宋_GB2312" w:cs="仿宋_GB2312"/>
          <w:b w:val="0"/>
          <w:bCs/>
          <w:color w:val="auto"/>
          <w:highlight w:val="none"/>
        </w:rPr>
        <w:t>日益凸显的交通枢纽优势，着力畅通内外交通物流体系，全面深化与粤港澳大湾区的深度对接，并积极承接南宁市域内部的产业溢出与功能互补。同时，主动拓展面向东盟的开放合作新空间。通过持续打造一流营商环境，深度融入国内国际双循环，将首府区位与本地交通优势切实转化为开放优势、发展胜势，塑造县域经济竞争新优势。</w:t>
      </w:r>
    </w:p>
    <w:p w14:paraId="4AB836D4">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rPr>
      </w:pPr>
      <w:bookmarkStart w:id="174" w:name="_Toc7087"/>
      <w:bookmarkStart w:id="175" w:name="_Toc18156"/>
      <w:bookmarkStart w:id="176" w:name="_Toc14471"/>
      <w:r>
        <w:rPr>
          <w:rFonts w:hint="eastAsia"/>
          <w:color w:val="auto"/>
          <w:highlight w:val="none"/>
        </w:rPr>
        <w:fldChar w:fldCharType="begin"/>
      </w:r>
      <w:r>
        <w:rPr>
          <w:rFonts w:hint="eastAsia"/>
          <w:color w:val="auto"/>
          <w:highlight w:val="none"/>
        </w:rPr>
        <w:instrText xml:space="preserve"> HYPERLINK \l _Toc2439 </w:instrText>
      </w:r>
      <w:r>
        <w:rPr>
          <w:rFonts w:hint="eastAsia"/>
          <w:color w:val="auto"/>
          <w:highlight w:val="none"/>
        </w:rPr>
        <w:fldChar w:fldCharType="separate"/>
      </w:r>
      <w:r>
        <w:rPr>
          <w:rFonts w:hint="eastAsia"/>
          <w:color w:val="auto"/>
          <w:highlight w:val="none"/>
          <w:lang w:val="en-US" w:eastAsia="zh-CN"/>
        </w:rPr>
        <w:t xml:space="preserve">第一节 </w:t>
      </w:r>
      <w:r>
        <w:rPr>
          <w:rFonts w:hint="eastAsia" w:ascii="楷体_GB2312" w:hAnsi="楷体_GB2312" w:eastAsia="楷体_GB2312" w:cs="楷体_GB2312"/>
          <w:b/>
          <w:bCs/>
          <w:color w:val="auto"/>
          <w:sz w:val="32"/>
          <w:szCs w:val="32"/>
          <w:highlight w:val="none"/>
          <w:u w:val="none"/>
          <w:lang w:val="en-US" w:eastAsia="zh-CN"/>
        </w:rPr>
        <w:t>打造便利地交通枢纽</w:t>
      </w:r>
      <w:r>
        <w:rPr>
          <w:rFonts w:hint="eastAsia"/>
          <w:color w:val="auto"/>
          <w:highlight w:val="none"/>
        </w:rPr>
        <w:fldChar w:fldCharType="end"/>
      </w:r>
      <w:bookmarkEnd w:id="171"/>
      <w:bookmarkEnd w:id="172"/>
      <w:bookmarkEnd w:id="174"/>
      <w:bookmarkEnd w:id="175"/>
      <w:bookmarkEnd w:id="176"/>
    </w:p>
    <w:p w14:paraId="6C5AEBA2">
      <w:pPr>
        <w:pageBreakBefore w:val="0"/>
        <w:kinsoku/>
        <w:wordWrap/>
        <w:overflowPunct/>
        <w:topLinePunct w:val="0"/>
        <w:autoSpaceDE/>
        <w:autoSpaceDN/>
        <w:bidi w:val="0"/>
        <w:adjustRightInd/>
        <w:snapToGrid/>
        <w:textAlignment w:val="auto"/>
        <w:rPr>
          <w:rFonts w:hint="eastAsia"/>
          <w:b/>
          <w:bCs/>
          <w:color w:val="auto"/>
          <w:highlight w:val="none"/>
          <w:lang w:val="en-US" w:eastAsia="zh-CN"/>
        </w:rPr>
      </w:pPr>
      <w:r>
        <w:rPr>
          <w:rFonts w:hint="eastAsia"/>
          <w:b/>
          <w:bCs/>
          <w:color w:val="auto"/>
          <w:highlight w:val="none"/>
          <w:lang w:val="en-US" w:eastAsia="zh-CN"/>
        </w:rPr>
        <w:t>全面融入区域枢纽网络。</w:t>
      </w:r>
      <w:r>
        <w:rPr>
          <w:rFonts w:hint="eastAsia"/>
          <w:b w:val="0"/>
          <w:bCs w:val="0"/>
          <w:color w:val="auto"/>
          <w:highlight w:val="none"/>
          <w:lang w:val="en-US" w:eastAsia="zh-CN"/>
        </w:rPr>
        <w:t>主动对接西部陆海新通道、平陆运河经济带等重大战略，强化宾阳县在南宁市全国性交通枢纽城市框架中的节点功能。推动物流设施、运输组织与重大战略的高效衔接，提升枢纽服务能级与区域协同能力。</w:t>
      </w:r>
    </w:p>
    <w:p w14:paraId="62CFD9EC">
      <w:pPr>
        <w:pageBreakBefore w:val="0"/>
        <w:kinsoku/>
        <w:wordWrap/>
        <w:overflowPunct/>
        <w:topLinePunct w:val="0"/>
        <w:autoSpaceDE/>
        <w:autoSpaceDN/>
        <w:bidi w:val="0"/>
        <w:adjustRightInd/>
        <w:snapToGrid/>
        <w:textAlignment w:val="auto"/>
        <w:rPr>
          <w:rFonts w:hint="eastAsia"/>
          <w:b w:val="0"/>
          <w:bCs w:val="0"/>
          <w:color w:val="auto"/>
          <w:highlight w:val="none"/>
          <w:lang w:val="en-US" w:eastAsia="zh-CN"/>
        </w:rPr>
      </w:pPr>
      <w:r>
        <w:rPr>
          <w:rFonts w:hint="eastAsia"/>
          <w:b/>
          <w:bCs/>
          <w:color w:val="auto"/>
          <w:highlight w:val="none"/>
          <w:lang w:val="en-US" w:eastAsia="zh-CN"/>
        </w:rPr>
        <w:t>提升多式联运效能。</w:t>
      </w:r>
      <w:r>
        <w:rPr>
          <w:rFonts w:hint="eastAsia"/>
          <w:b w:val="0"/>
          <w:bCs w:val="0"/>
          <w:color w:val="auto"/>
          <w:highlight w:val="none"/>
          <w:lang w:val="en-US" w:eastAsia="zh-CN"/>
        </w:rPr>
        <w:t>优化“江铁公”联运组织模式，重点强化宾阳县与粤港澳大湾区、北部湾港之间的运力协调与时刻衔接。依托黎塘物流集散枢纽，提升区域货物中转与分拨效率，建立响应快速的货运集疏运体系，实现物流通道与主要经济节点、产业园区的无缝衔接与高效运转。</w:t>
      </w:r>
    </w:p>
    <w:p w14:paraId="79AA3CA2">
      <w:pPr>
        <w:pageBreakBefore w:val="0"/>
        <w:kinsoku/>
        <w:wordWrap/>
        <w:overflowPunct/>
        <w:topLinePunct w:val="0"/>
        <w:autoSpaceDE/>
        <w:autoSpaceDN/>
        <w:bidi w:val="0"/>
        <w:adjustRightInd/>
        <w:snapToGrid/>
        <w:textAlignment w:val="auto"/>
        <w:rPr>
          <w:rFonts w:hint="eastAsia" w:ascii="仿宋_GB2312" w:hAnsi="仿宋_GB2312" w:cs="仿宋_GB2312"/>
          <w:b w:val="0"/>
          <w:bCs w:val="0"/>
          <w:color w:val="auto"/>
          <w:highlight w:val="none"/>
          <w:lang w:val="en-US" w:eastAsia="zh-CN"/>
        </w:rPr>
      </w:pPr>
      <w:r>
        <w:rPr>
          <w:rFonts w:hint="eastAsia"/>
          <w:b/>
          <w:bCs/>
          <w:color w:val="auto"/>
          <w:highlight w:val="none"/>
          <w:lang w:val="en-US" w:eastAsia="zh-CN"/>
        </w:rPr>
        <w:t>壮大高铁枢纽经济。</w:t>
      </w:r>
      <w:r>
        <w:rPr>
          <w:rFonts w:hint="eastAsia" w:ascii="仿宋_GB2312" w:hAnsi="仿宋_GB2312" w:cs="仿宋_GB2312"/>
          <w:b w:val="0"/>
          <w:bCs w:val="0"/>
          <w:color w:val="auto"/>
          <w:highlight w:val="none"/>
          <w:lang w:val="en-US" w:eastAsia="zh-CN"/>
        </w:rPr>
        <w:t>发挥南桂衡新高铁宾阳站的磁吸效应，重点培育临站商务、高端会展、现代仓储等偏好交通便捷度的服务业态。提升客运枢纽的换乘便捷度与服务品质，增强对商流、客流的集聚与转化能力。通过优化站域商业服务功能，创新“交通+旅游”“交通+商务”模式，将交通通道优势转化为流量经济优势，辐射带动周边餐饮、住宿及现代服务业发展。</w:t>
      </w:r>
    </w:p>
    <w:p w14:paraId="54164AFE">
      <w:pPr>
        <w:rPr>
          <w:rFonts w:hint="eastAsia"/>
          <w:color w:val="auto"/>
          <w:highlight w:val="none"/>
        </w:rPr>
      </w:pPr>
      <w:r>
        <w:rPr>
          <w:rFonts w:hint="eastAsia"/>
          <w:b/>
          <w:bCs/>
          <w:color w:val="auto"/>
          <w:highlight w:val="none"/>
          <w:lang w:val="en-US" w:eastAsia="zh-CN"/>
        </w:rPr>
        <w:t>提升城乡物流网络效能。</w:t>
      </w:r>
      <w:r>
        <w:rPr>
          <w:rFonts w:hint="eastAsia"/>
          <w:color w:val="auto"/>
          <w:highlight w:val="none"/>
          <w:lang w:val="en-US" w:eastAsia="zh-CN"/>
        </w:rPr>
        <w:t>健全城乡物流网络市场化运营机制。深化客货邮融合发展，整合邮政、快递、供销及社会物流资源，实行统一调度与集约化配送。优化农产品上行集货处理和工业品下乡共同配送，系统性降低城乡双向流通成本，提升网络整体运行效率和服务质量。</w:t>
      </w:r>
      <w:bookmarkStart w:id="177" w:name="_Toc13077"/>
      <w:bookmarkStart w:id="178" w:name="_Toc10596"/>
    </w:p>
    <w:p w14:paraId="41AB56AC">
      <w:pPr>
        <w:ind w:firstLine="0" w:firstLineChars="0"/>
        <w:jc w:val="center"/>
        <w:outlineLvl w:val="1"/>
        <w:rPr>
          <w:rFonts w:hint="eastAsia" w:eastAsia="楷体_GB2312"/>
          <w:b/>
          <w:color w:val="auto"/>
          <w:highlight w:val="none"/>
          <w:lang w:val="en-US" w:eastAsia="zh-CN"/>
        </w:rPr>
      </w:pPr>
      <w:bookmarkStart w:id="179" w:name="_Toc29509"/>
      <w:r>
        <w:rPr>
          <w:rFonts w:hint="eastAsia"/>
          <w:color w:val="auto"/>
          <w:highlight w:val="none"/>
        </w:rPr>
        <w:fldChar w:fldCharType="begin"/>
      </w:r>
      <w:r>
        <w:rPr>
          <w:rFonts w:hint="eastAsia"/>
          <w:color w:val="auto"/>
          <w:highlight w:val="none"/>
        </w:rPr>
        <w:instrText xml:space="preserve"> HYPERLINK \l _Toc6306 </w:instrText>
      </w:r>
      <w:r>
        <w:rPr>
          <w:rFonts w:hint="eastAsia"/>
          <w:color w:val="auto"/>
          <w:highlight w:val="none"/>
        </w:rPr>
        <w:fldChar w:fldCharType="separate"/>
      </w:r>
      <w:r>
        <w:rPr>
          <w:rFonts w:hint="eastAsia" w:eastAsia="楷体_GB2312"/>
          <w:b/>
          <w:color w:val="auto"/>
          <w:highlight w:val="none"/>
          <w:lang w:val="en-US" w:eastAsia="zh-CN"/>
        </w:rPr>
        <w:t>第二节 协同推动县域经济高质量发展</w:t>
      </w:r>
      <w:bookmarkEnd w:id="179"/>
    </w:p>
    <w:p w14:paraId="6D2CFE64">
      <w:pPr>
        <w:rPr>
          <w:rFonts w:hint="eastAsia" w:ascii="仿宋_GB2312" w:hAnsi="仿宋_GB2312" w:eastAsia="仿宋_GB2312" w:cs="仿宋_GB2312"/>
          <w:b w:val="0"/>
          <w:bCs/>
          <w:color w:val="auto"/>
          <w:highlight w:val="none"/>
          <w:lang w:val="en-US" w:eastAsia="zh-CN"/>
        </w:rPr>
      </w:pPr>
      <w:r>
        <w:rPr>
          <w:rFonts w:hint="eastAsia" w:ascii="仿宋_GB2312" w:hAnsi="仿宋_GB2312" w:eastAsia="仿宋_GB2312" w:cs="仿宋_GB2312"/>
          <w:b/>
          <w:bCs/>
          <w:color w:val="auto"/>
          <w:highlight w:val="none"/>
          <w:lang w:val="en-US" w:eastAsia="zh-CN"/>
        </w:rPr>
        <w:t>坚持科学规划引领协同。</w:t>
      </w:r>
      <w:r>
        <w:rPr>
          <w:rFonts w:hint="eastAsia" w:ascii="仿宋_GB2312" w:hAnsi="仿宋_GB2312" w:eastAsia="仿宋_GB2312" w:cs="仿宋_GB2312"/>
          <w:b w:val="0"/>
          <w:bCs/>
          <w:color w:val="auto"/>
          <w:highlight w:val="none"/>
          <w:lang w:val="en-US" w:eastAsia="zh-CN"/>
        </w:rPr>
        <w:t>立足我县枢纽优势和资源禀赋，围绕“五个协同”重点任务，科学编制“一县一策”的产城融合与产业发展规划。用好“十个一”工作抓手，明确与区域中心城市的功能互补和产业承接重点，制定差异化的协同发展路线图。</w:t>
      </w:r>
    </w:p>
    <w:p w14:paraId="63DEE89F">
      <w:pPr>
        <w:rPr>
          <w:rFonts w:hint="eastAsia" w:ascii="仿宋_GB2312" w:hAnsi="仿宋_GB2312" w:eastAsia="仿宋_GB2312" w:cs="仿宋_GB2312"/>
          <w:b w:val="0"/>
          <w:bCs/>
          <w:color w:val="auto"/>
          <w:highlight w:val="none"/>
          <w:lang w:val="en-US" w:eastAsia="zh-CN"/>
        </w:rPr>
      </w:pPr>
      <w:r>
        <w:rPr>
          <w:rFonts w:hint="eastAsia" w:ascii="仿宋_GB2312" w:hAnsi="仿宋_GB2312" w:eastAsia="仿宋_GB2312" w:cs="仿宋_GB2312"/>
          <w:b/>
          <w:bCs/>
          <w:color w:val="auto"/>
          <w:highlight w:val="none"/>
          <w:lang w:val="en-US" w:eastAsia="zh-CN"/>
        </w:rPr>
        <w:t>集中力量培育主导产业。</w:t>
      </w:r>
      <w:r>
        <w:rPr>
          <w:rFonts w:hint="eastAsia" w:ascii="仿宋_GB2312" w:hAnsi="仿宋_GB2312" w:eastAsia="仿宋_GB2312" w:cs="仿宋_GB2312"/>
          <w:b w:val="0"/>
          <w:bCs/>
          <w:color w:val="auto"/>
          <w:highlight w:val="none"/>
          <w:lang w:val="en-US" w:eastAsia="zh-CN"/>
        </w:rPr>
        <w:t>聚焦低空经济、新能源新材料、农产品精深加工等特色工业与现代农业，主动承接区域产业链关键环节。推动产业链上下游集聚与强链补链，将枢纽节点优势转化为具有区域竞争力的现代产业集群优势。</w:t>
      </w:r>
    </w:p>
    <w:p w14:paraId="1F6F5FD7">
      <w:pPr>
        <w:rPr>
          <w:rFonts w:hint="eastAsia" w:ascii="仿宋_GB2312" w:hAnsi="仿宋_GB2312" w:eastAsia="仿宋_GB2312" w:cs="仿宋_GB2312"/>
          <w:b w:val="0"/>
          <w:bCs/>
          <w:color w:val="auto"/>
          <w:highlight w:val="none"/>
          <w:lang w:val="en-US" w:eastAsia="zh-CN"/>
        </w:rPr>
      </w:pPr>
      <w:r>
        <w:rPr>
          <w:rFonts w:hint="eastAsia" w:ascii="仿宋_GB2312" w:hAnsi="仿宋_GB2312" w:eastAsia="仿宋_GB2312" w:cs="仿宋_GB2312"/>
          <w:b/>
          <w:bCs/>
          <w:color w:val="auto"/>
          <w:highlight w:val="none"/>
          <w:lang w:val="en-US" w:eastAsia="zh-CN"/>
        </w:rPr>
        <w:t>推动园区提质带动就业。</w:t>
      </w:r>
      <w:r>
        <w:rPr>
          <w:rFonts w:hint="eastAsia" w:ascii="仿宋_GB2312" w:hAnsi="仿宋_GB2312" w:eastAsia="仿宋_GB2312" w:cs="仿宋_GB2312"/>
          <w:b w:val="0"/>
          <w:bCs/>
          <w:color w:val="auto"/>
          <w:highlight w:val="none"/>
          <w:lang w:val="en-US" w:eastAsia="zh-CN"/>
        </w:rPr>
        <w:t>深化县域产业园区管理体制改革，完善生产生活配套设施。着力优化营商环境，引导企业扩大投资，将园区发展成果转化为更多高质量的“家门口”就业岗位，实现群众收入增长与县域经济壮大的良性循环。</w:t>
      </w:r>
    </w:p>
    <w:p w14:paraId="2D82181C">
      <w:pPr>
        <w:rPr>
          <w:rFonts w:hint="eastAsia" w:ascii="仿宋_GB2312" w:hAnsi="仿宋_GB2312" w:eastAsia="仿宋_GB2312" w:cs="仿宋_GB2312"/>
          <w:b w:val="0"/>
          <w:bCs/>
          <w:color w:val="auto"/>
          <w:highlight w:val="none"/>
          <w:lang w:val="en-US" w:eastAsia="zh-CN"/>
        </w:rPr>
      </w:pPr>
      <w:r>
        <w:rPr>
          <w:rFonts w:hint="eastAsia" w:ascii="仿宋_GB2312" w:hAnsi="仿宋_GB2312" w:eastAsia="仿宋_GB2312" w:cs="仿宋_GB2312"/>
          <w:b/>
          <w:bCs/>
          <w:color w:val="auto"/>
          <w:highlight w:val="none"/>
          <w:lang w:val="en-US" w:eastAsia="zh-CN"/>
        </w:rPr>
        <w:t>深化改革促进双向赋能。</w:t>
      </w:r>
      <w:r>
        <w:rPr>
          <w:rFonts w:hint="eastAsia" w:ascii="仿宋_GB2312" w:hAnsi="仿宋_GB2312" w:eastAsia="仿宋_GB2312" w:cs="仿宋_GB2312"/>
          <w:b w:val="0"/>
          <w:bCs/>
          <w:color w:val="auto"/>
          <w:highlight w:val="none"/>
          <w:lang w:val="en-US" w:eastAsia="zh-CN"/>
        </w:rPr>
        <w:t>持续深化扩权赋能改革，破除要素流动壁垒。在规划衔接、产业协作、创新联动等方面与首府城市及周边区域建立高效协同机制，推动资源优化配置与市场互通。</w:t>
      </w:r>
    </w:p>
    <w:p w14:paraId="655C4F2E">
      <w:pPr>
        <w:rPr>
          <w:rFonts w:hint="eastAsia"/>
          <w:color w:val="auto"/>
          <w:highlight w:val="none"/>
          <w:lang w:val="en-US" w:eastAsia="zh-CN"/>
        </w:rPr>
      </w:pPr>
      <w:r>
        <w:rPr>
          <w:rFonts w:hint="eastAsia" w:ascii="仿宋_GB2312" w:hAnsi="仿宋_GB2312" w:eastAsia="仿宋_GB2312" w:cs="仿宋_GB2312"/>
          <w:b/>
          <w:bCs/>
          <w:color w:val="auto"/>
          <w:highlight w:val="none"/>
          <w:lang w:val="en-US" w:eastAsia="zh-CN"/>
        </w:rPr>
        <w:t>坚持生态筑基城乡融合。</w:t>
      </w:r>
      <w:r>
        <w:rPr>
          <w:rFonts w:hint="eastAsia" w:ascii="仿宋_GB2312" w:hAnsi="仿宋_GB2312" w:eastAsia="仿宋_GB2312" w:cs="仿宋_GB2312"/>
          <w:b w:val="0"/>
          <w:bCs/>
          <w:color w:val="auto"/>
          <w:highlight w:val="none"/>
          <w:lang w:val="en-US" w:eastAsia="zh-CN"/>
        </w:rPr>
        <w:t>将绿色发展理念贯穿协同发展全过程。统筹产业布局与生态保护，推动现代农业与文旅康养等产业深度融合，促进城乡基础设施互联与公共服务共享。</w:t>
      </w:r>
    </w:p>
    <w:p w14:paraId="6F04F541">
      <w:pPr>
        <w:ind w:firstLine="0" w:firstLineChars="0"/>
        <w:jc w:val="center"/>
        <w:outlineLvl w:val="1"/>
        <w:rPr>
          <w:rFonts w:hint="eastAsia"/>
          <w:color w:val="auto"/>
          <w:highlight w:val="none"/>
        </w:rPr>
      </w:pPr>
      <w:bookmarkStart w:id="180" w:name="_Toc10816"/>
      <w:r>
        <w:rPr>
          <w:rFonts w:hint="eastAsia" w:ascii="楷体_GB2312" w:hAnsi="楷体_GB2312" w:cs="楷体_GB2312"/>
          <w:b/>
          <w:bCs/>
          <w:color w:val="auto"/>
          <w:sz w:val="32"/>
          <w:szCs w:val="32"/>
          <w:highlight w:val="none"/>
          <w:u w:val="none"/>
          <w:lang w:val="en-US" w:eastAsia="zh-CN"/>
        </w:rPr>
        <w:t xml:space="preserve">第三节 </w:t>
      </w:r>
      <w:r>
        <w:rPr>
          <w:rFonts w:hint="eastAsia" w:ascii="楷体_GB2312" w:hAnsi="楷体_GB2312" w:eastAsia="楷体_GB2312" w:cs="楷体_GB2312"/>
          <w:b/>
          <w:bCs/>
          <w:color w:val="auto"/>
          <w:sz w:val="32"/>
          <w:szCs w:val="32"/>
          <w:highlight w:val="none"/>
          <w:u w:val="none"/>
          <w:lang w:val="en-US" w:eastAsia="zh-CN"/>
        </w:rPr>
        <w:t>深化区域产业协同</w:t>
      </w:r>
      <w:r>
        <w:rPr>
          <w:rFonts w:hint="eastAsia"/>
          <w:color w:val="auto"/>
          <w:highlight w:val="none"/>
        </w:rPr>
        <w:fldChar w:fldCharType="end"/>
      </w:r>
      <w:bookmarkEnd w:id="177"/>
      <w:bookmarkEnd w:id="178"/>
      <w:bookmarkEnd w:id="180"/>
    </w:p>
    <w:p w14:paraId="0D715F3B">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全面对接粤港澳大湾区发展。</w:t>
      </w:r>
      <w:r>
        <w:rPr>
          <w:rFonts w:hint="eastAsia" w:ascii="仿宋_GB2312" w:hAnsi="仿宋_GB2312" w:eastAsia="仿宋_GB2312" w:cs="Times New Roman"/>
          <w:color w:val="auto"/>
          <w:kern w:val="0"/>
          <w:sz w:val="32"/>
          <w:szCs w:val="32"/>
          <w:highlight w:val="none"/>
          <w:lang w:val="en-US" w:eastAsia="zh-CN" w:bidi="ar"/>
        </w:rPr>
        <w:t>准确把握粤港澳大湾区产业梯度转移机遇，全面对接大湾区产业体系、市场规则与消费需求。重点加密与大湾区核心城市的快速交通联接，提升我县承接电子信息、智能装备、高端消费品等产业精准溢出的能力。聚焦低空经济、新能源新材料、农产品精深加工等重点领域，与大湾区共建跨区域产业集群，将我县打造成为大湾区重要的产业协作配套基地和优质农产品供应基地。</w:t>
      </w:r>
    </w:p>
    <w:p w14:paraId="2DEA38DB">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深化与南宁市及周边县区协同。</w:t>
      </w:r>
      <w:r>
        <w:rPr>
          <w:rFonts w:hint="eastAsia" w:ascii="仿宋_GB2312" w:hAnsi="仿宋_GB2312" w:eastAsia="仿宋_GB2312" w:cs="Times New Roman"/>
          <w:color w:val="auto"/>
          <w:kern w:val="0"/>
          <w:sz w:val="32"/>
          <w:szCs w:val="32"/>
          <w:highlight w:val="none"/>
          <w:lang w:val="en-US" w:eastAsia="zh-CN" w:bidi="ar"/>
        </w:rPr>
        <w:t>建立健全与南宁市区，特别是南宁东部新城，以及横州、上林等周边县区的常态化产业协调机制。围绕低空经济、新能源新材料、现代农业等重点领域，共同规划区域产业链布局，推动我县在无人机应用、绿色能源、香米及特色农副产品加工等环节主动嵌入并共同做强区域产业链供应链。积极探索与南宁市区及周边工业园区在“飞地经济”、共建产业合作园区等方面的协同发展新模式。</w:t>
      </w:r>
    </w:p>
    <w:p w14:paraId="5D5384DE">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强化区域科技创新合作。</w:t>
      </w:r>
      <w:r>
        <w:rPr>
          <w:rFonts w:hint="eastAsia" w:ascii="仿宋_GB2312" w:hAnsi="仿宋_GB2312" w:eastAsia="仿宋_GB2312" w:cs="Times New Roman"/>
          <w:color w:val="auto"/>
          <w:kern w:val="0"/>
          <w:sz w:val="32"/>
          <w:szCs w:val="32"/>
          <w:highlight w:val="none"/>
          <w:lang w:val="en-US" w:eastAsia="zh-CN" w:bidi="ar"/>
        </w:rPr>
        <w:t>积极推动与粤港澳大湾区、南宁市的高校、科研院所及企业共建研发平台和创新联合体。围绕主导产业开展联合技术攻关，促进科技成果在我县转化落地。深化产教融合，支持本地职业院校与区域先进企业、院校合作培养技能人才。畅通科技资源互通渠道，提升县域创新体系对产业发展的支撑能力。</w:t>
      </w:r>
    </w:p>
    <w:p w14:paraId="197482FD">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积极共建跨区域产业集群。</w:t>
      </w:r>
      <w:r>
        <w:rPr>
          <w:rFonts w:hint="eastAsia" w:ascii="仿宋_GB2312" w:hAnsi="仿宋_GB2312" w:eastAsia="仿宋_GB2312" w:cs="Times New Roman"/>
          <w:color w:val="auto"/>
          <w:kern w:val="0"/>
          <w:sz w:val="32"/>
          <w:szCs w:val="32"/>
          <w:highlight w:val="none"/>
          <w:lang w:val="en-US" w:eastAsia="zh-CN" w:bidi="ar"/>
        </w:rPr>
        <w:t>主动争取与粤港澳大湾区等先进地区共建跨区域产业集群。利用我县空间与资源优势，积极承接其科技外溢和配套产业转移，通过引入头部企业、共建研发中试基地等方式，提升产业技术水平和价值链地位。支持本地企业参与区域产业链分工协作，将区域协同势能转化为县域产业发展的强劲动能。</w:t>
      </w:r>
    </w:p>
    <w:p w14:paraId="7A671C9F">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rPr>
      </w:pPr>
      <w:bookmarkStart w:id="181" w:name="_Toc14636"/>
      <w:bookmarkStart w:id="182" w:name="_Toc27401"/>
      <w:bookmarkStart w:id="183" w:name="_Toc22088"/>
      <w:bookmarkStart w:id="184" w:name="_Toc13397"/>
      <w:bookmarkStart w:id="185" w:name="_Toc29148"/>
      <w:r>
        <w:rPr>
          <w:rFonts w:hint="eastAsia"/>
          <w:color w:val="auto"/>
          <w:highlight w:val="none"/>
          <w:lang w:val="en-US" w:eastAsia="zh-CN"/>
        </w:rPr>
        <w:t xml:space="preserve">第四节 </w:t>
      </w:r>
      <w:r>
        <w:rPr>
          <w:rFonts w:hint="eastAsia" w:ascii="楷体_GB2312" w:hAnsi="楷体_GB2312" w:eastAsia="楷体_GB2312" w:cs="楷体_GB2312"/>
          <w:b/>
          <w:bCs/>
          <w:color w:val="auto"/>
          <w:sz w:val="32"/>
          <w:szCs w:val="32"/>
          <w:highlight w:val="none"/>
          <w:u w:val="none"/>
          <w:lang w:val="en-US" w:eastAsia="zh-CN"/>
        </w:rPr>
        <w:t>拓展高水平国际合作空间</w:t>
      </w:r>
      <w:bookmarkEnd w:id="181"/>
      <w:bookmarkEnd w:id="182"/>
      <w:bookmarkEnd w:id="183"/>
      <w:bookmarkEnd w:id="184"/>
      <w:bookmarkEnd w:id="185"/>
    </w:p>
    <w:p w14:paraId="1F876207">
      <w:pPr>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稳步推进制度型开放。</w:t>
      </w:r>
      <w:r>
        <w:rPr>
          <w:rFonts w:hint="eastAsia" w:ascii="仿宋_GB2312" w:hAnsi="仿宋_GB2312" w:cs="Times New Roman"/>
          <w:color w:val="auto"/>
          <w:kern w:val="0"/>
          <w:sz w:val="32"/>
          <w:szCs w:val="32"/>
          <w:highlight w:val="none"/>
          <w:lang w:val="en-US" w:eastAsia="zh-CN" w:bidi="ar"/>
        </w:rPr>
        <w:t>积极复制推广自贸试验区改革试点经验，深化通关、投资、贸易便利化改革，优化跨境贸易营商环境。充分运用RCEP规则，推动我县与东盟国家在贸易、物流、标准认证等方面的规则对接，降低制度性交易成本，提升贸易自由化便利化水平。加强涉外法律服务体系建设，为企业在国际经贸活动中提供专业支持。</w:t>
      </w:r>
    </w:p>
    <w:p w14:paraId="454BD560">
      <w:pPr>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深化与东盟国家经贸合作。</w:t>
      </w:r>
      <w:r>
        <w:rPr>
          <w:rFonts w:hint="eastAsia" w:ascii="仿宋_GB2312" w:hAnsi="仿宋_GB2312" w:cs="Times New Roman"/>
          <w:color w:val="auto"/>
          <w:kern w:val="0"/>
          <w:sz w:val="32"/>
          <w:szCs w:val="32"/>
          <w:highlight w:val="none"/>
          <w:lang w:val="en-US" w:eastAsia="zh-CN" w:bidi="ar"/>
        </w:rPr>
        <w:t>巩固提升光伏组件、古辣香米、宾阳鸽等特色优势产品对东盟出口规模。积极拓展高端纸品、绿色智能家居等“宾阳制造”在东盟市场的影响力。支持本地企业利用南宁国际物流枢纽开拓东盟市场，发展向海经济。鼓励企业发展跨境电商、市场采购贸易等外贸新业态，探索开展服务贸易。依托面向东盟的制造业基础，深化在农产品加工、新材料、轻工制造等领域的国际产能合作。</w:t>
      </w:r>
    </w:p>
    <w:p w14:paraId="62DD4460">
      <w:pPr>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拓展多元化国际合作领域。</w:t>
      </w:r>
      <w:r>
        <w:rPr>
          <w:rFonts w:hint="eastAsia" w:ascii="仿宋_GB2312" w:hAnsi="仿宋_GB2312" w:cs="Times New Roman"/>
          <w:color w:val="auto"/>
          <w:kern w:val="0"/>
          <w:sz w:val="32"/>
          <w:szCs w:val="32"/>
          <w:highlight w:val="none"/>
          <w:lang w:val="en-US" w:eastAsia="zh-CN" w:bidi="ar"/>
        </w:rPr>
        <w:t>积极开拓与“一带一路”共建国家在新能源、节能环保等领域的技术合作与项目对接。支持本地企业、科研机构参与国际科技合作项目，吸引国际先进技术落地转化。鼓励有条件的企业在境外建立研发中心、生产基地和营销网络，提升国际化经营水平。</w:t>
      </w:r>
    </w:p>
    <w:p w14:paraId="1BFBF240">
      <w:pPr>
        <w:rPr>
          <w:color w:val="auto"/>
          <w:highlight w:val="none"/>
        </w:rPr>
      </w:pPr>
      <w:r>
        <w:rPr>
          <w:rFonts w:hint="eastAsia" w:ascii="仿宋_GB2312" w:hAnsi="仿宋_GB2312" w:cs="Times New Roman"/>
          <w:b/>
          <w:bCs/>
          <w:color w:val="auto"/>
          <w:kern w:val="0"/>
          <w:sz w:val="32"/>
          <w:szCs w:val="32"/>
          <w:highlight w:val="none"/>
          <w:lang w:val="en-US" w:eastAsia="zh-CN" w:bidi="ar"/>
        </w:rPr>
        <w:t>深化人文交流与国际友城合作。</w:t>
      </w:r>
      <w:r>
        <w:rPr>
          <w:rFonts w:hint="eastAsia" w:ascii="仿宋_GB2312" w:hAnsi="仿宋_GB2312" w:cs="Times New Roman"/>
          <w:color w:val="auto"/>
          <w:kern w:val="0"/>
          <w:sz w:val="32"/>
          <w:szCs w:val="32"/>
          <w:highlight w:val="none"/>
          <w:lang w:val="en-US" w:eastAsia="zh-CN" w:bidi="ar"/>
        </w:rPr>
        <w:t>依托“中国炮龙之乡”等特色非物质文化遗产，深化与国际友好城市在文化、旅游、教育等领域的交流合作。积极组织参与中国—东盟博览会框架下的文化交流、非遗技艺展演等活动，提升宾阳文化国际知名度。夯实国际合作的民间基础，促进民心相通，以人文交流带动经贸往来与全方位合作。</w:t>
      </w:r>
    </w:p>
    <w:bookmarkEnd w:id="173"/>
    <w:p w14:paraId="1D72564B">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rPr>
      </w:pPr>
      <w:bookmarkStart w:id="186" w:name="_Toc9852"/>
      <w:bookmarkStart w:id="187" w:name="_Toc30647"/>
      <w:bookmarkStart w:id="188" w:name="_Toc180"/>
      <w:bookmarkStart w:id="189" w:name="_Toc29070"/>
      <w:r>
        <w:rPr>
          <w:rFonts w:hint="eastAsia"/>
          <w:color w:val="auto"/>
          <w:highlight w:val="none"/>
          <w:lang w:val="en-US" w:eastAsia="zh-CN"/>
        </w:rPr>
        <w:t xml:space="preserve">第五节 </w:t>
      </w:r>
      <w:r>
        <w:rPr>
          <w:rFonts w:hint="eastAsia" w:ascii="楷体_GB2312" w:hAnsi="楷体_GB2312" w:eastAsia="楷体_GB2312" w:cs="楷体_GB2312"/>
          <w:b/>
          <w:bCs/>
          <w:color w:val="auto"/>
          <w:sz w:val="32"/>
          <w:szCs w:val="32"/>
          <w:highlight w:val="none"/>
          <w:u w:val="none"/>
          <w:lang w:val="en-US" w:eastAsia="zh-CN"/>
        </w:rPr>
        <w:t>打造市场化法治化国际化</w:t>
      </w:r>
      <w:r>
        <w:rPr>
          <w:rFonts w:hint="eastAsia" w:ascii="楷体_GB2312" w:hAnsi="楷体_GB2312" w:cs="楷体_GB2312"/>
          <w:b/>
          <w:bCs/>
          <w:color w:val="auto"/>
          <w:sz w:val="32"/>
          <w:szCs w:val="32"/>
          <w:highlight w:val="none"/>
          <w:u w:val="none"/>
          <w:lang w:val="en-US" w:eastAsia="zh-CN"/>
        </w:rPr>
        <w:t>一流</w:t>
      </w:r>
      <w:r>
        <w:rPr>
          <w:rFonts w:hint="eastAsia" w:ascii="楷体_GB2312" w:hAnsi="楷体_GB2312" w:eastAsia="楷体_GB2312" w:cs="楷体_GB2312"/>
          <w:b/>
          <w:bCs/>
          <w:color w:val="auto"/>
          <w:sz w:val="32"/>
          <w:szCs w:val="32"/>
          <w:highlight w:val="none"/>
          <w:u w:val="none"/>
          <w:lang w:val="en-US" w:eastAsia="zh-CN"/>
        </w:rPr>
        <w:t>营商环境</w:t>
      </w:r>
      <w:bookmarkEnd w:id="186"/>
      <w:bookmarkEnd w:id="187"/>
      <w:bookmarkEnd w:id="188"/>
    </w:p>
    <w:p w14:paraId="5877EA4D">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系统提升市场经营便利化水平。</w:t>
      </w:r>
      <w:r>
        <w:rPr>
          <w:rFonts w:hint="eastAsia" w:ascii="仿宋_GB2312" w:hAnsi="仿宋_GB2312" w:cs="Times New Roman"/>
          <w:color w:val="auto"/>
          <w:kern w:val="0"/>
          <w:sz w:val="32"/>
          <w:szCs w:val="32"/>
          <w:highlight w:val="none"/>
          <w:lang w:val="en-US" w:eastAsia="zh-CN" w:bidi="ar"/>
        </w:rPr>
        <w:t>主动融入自治区打造国内国际双循环市场经营便利地部署，系统提升投资、贸易、物流、资金流动、人员往来、消费等便利化水平。以“营商广西·桂在便利”为引领，深化“一网通办”与“高效办成一件事”改革，有序推进“人工智能+政务服务”，提升营商环境便利化、数字化、智能化水平。深化事中事后监管改革，健全政企常态化沟通和营商环境“服务管家”机制，精准落实惠企政策，加强涉企行政执法行为规范与监督。</w:t>
      </w:r>
    </w:p>
    <w:p w14:paraId="4D20BED5">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提升贸易投资自由化便利化水平。</w:t>
      </w:r>
      <w:r>
        <w:rPr>
          <w:rFonts w:hint="eastAsia" w:ascii="仿宋_GB2312" w:hAnsi="仿宋_GB2312" w:cs="Times New Roman"/>
          <w:color w:val="auto"/>
          <w:kern w:val="0"/>
          <w:sz w:val="32"/>
          <w:szCs w:val="32"/>
          <w:highlight w:val="none"/>
          <w:lang w:val="en-US" w:eastAsia="zh-CN" w:bidi="ar"/>
        </w:rPr>
        <w:t>健全跨境供应链与企业出海综合服务体系，提升通关与跨境结算便利度。 为企业提供通关、物流、结算、法律咨询等一站式服务。积极争取纳入更高层级的开放平台联动发展，探索建设内外贸一体化服务平台，促进内外贸规则衔接、标准互认、渠道融合。支持企业利用RCEP等规则开拓国际市场，发展跨境电商等新业态，推动外贸外资稳中提质。</w:t>
      </w:r>
    </w:p>
    <w:p w14:paraId="5204AA7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cs="Times New Roman"/>
          <w:color w:val="auto"/>
          <w:kern w:val="0"/>
          <w:sz w:val="32"/>
          <w:szCs w:val="32"/>
          <w:highlight w:val="none"/>
          <w:lang w:val="en-US" w:eastAsia="zh-CN" w:bidi="ar"/>
        </w:rPr>
      </w:pPr>
      <w:r>
        <w:rPr>
          <w:rFonts w:hint="eastAsia" w:ascii="仿宋_GB2312" w:hAnsi="仿宋_GB2312" w:cs="Times New Roman"/>
          <w:b/>
          <w:bCs/>
          <w:color w:val="auto"/>
          <w:kern w:val="0"/>
          <w:sz w:val="32"/>
          <w:szCs w:val="32"/>
          <w:highlight w:val="none"/>
          <w:lang w:val="en-US" w:eastAsia="zh-CN" w:bidi="ar"/>
        </w:rPr>
        <w:t>加强法治保障与国际服务能力。</w:t>
      </w:r>
      <w:r>
        <w:rPr>
          <w:rFonts w:hint="eastAsia" w:ascii="仿宋_GB2312" w:hAnsi="仿宋_GB2312" w:cs="Times New Roman"/>
          <w:color w:val="auto"/>
          <w:kern w:val="0"/>
          <w:sz w:val="32"/>
          <w:szCs w:val="32"/>
          <w:highlight w:val="none"/>
          <w:lang w:val="en-US" w:eastAsia="zh-CN" w:bidi="ar"/>
        </w:rPr>
        <w:t>强化知识产权全链条保护，严厉打击侵权假冒行为，激发企业创新活力。加强涉外法律服务供给，培养国际化专业服务能力，为企业“走出去”提供法律、会计、金融等专业支持。完善多元化纠纷解决机制，依法平等保护各类市场主体合法权益。加强与国际通行规则对接，提升规则、规制、管理、标准等制度型开放水平，打造具有区域竞争力的国际化营商环境。</w:t>
      </w:r>
    </w:p>
    <w:p w14:paraId="5CAD211E">
      <w:pPr>
        <w:rPr>
          <w:rFonts w:hint="eastAsia"/>
          <w:color w:val="auto"/>
          <w:highlight w:val="none"/>
          <w:lang w:val="en-US" w:eastAsia="zh-CN"/>
        </w:rPr>
        <w:sectPr>
          <w:pgSz w:w="11906" w:h="16838"/>
          <w:pgMar w:top="1440" w:right="1800" w:bottom="1440" w:left="1800" w:header="851" w:footer="992" w:gutter="0"/>
          <w:pgNumType w:fmt="numberInDash"/>
          <w:cols w:space="425" w:num="1"/>
          <w:docGrid w:type="lines" w:linePitch="312" w:charSpace="0"/>
        </w:sectPr>
      </w:pPr>
    </w:p>
    <w:p w14:paraId="6AE53E45">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default" w:cs="Times New Roman"/>
          <w:color w:val="auto"/>
          <w:sz w:val="32"/>
          <w:szCs w:val="32"/>
          <w:highlight w:val="none"/>
          <w:lang w:val="en-US" w:eastAsia="zh-CN"/>
        </w:rPr>
      </w:pPr>
      <w:bookmarkStart w:id="190" w:name="_Toc13264"/>
      <w:bookmarkStart w:id="191" w:name="_Toc3589"/>
      <w:bookmarkStart w:id="192" w:name="_Toc20885"/>
      <w:bookmarkStart w:id="193" w:name="_Toc4001"/>
      <w:r>
        <w:rPr>
          <w:rFonts w:hint="eastAsia" w:cs="Times New Roman"/>
          <w:color w:val="auto"/>
          <w:sz w:val="32"/>
          <w:szCs w:val="32"/>
          <w:highlight w:val="none"/>
          <w:lang w:val="en-US" w:eastAsia="zh-CN"/>
        </w:rPr>
        <w:t xml:space="preserve">第九章 </w:t>
      </w:r>
      <w:r>
        <w:rPr>
          <w:rFonts w:hint="eastAsia" w:eastAsia="黑体" w:asciiTheme="minorAscii" w:hAnsiTheme="minorAscii"/>
          <w:b w:val="0"/>
          <w:bCs w:val="0"/>
          <w:color w:val="auto"/>
          <w:sz w:val="32"/>
          <w:szCs w:val="32"/>
          <w:highlight w:val="none"/>
          <w:u w:val="none"/>
          <w:lang w:val="en-US" w:eastAsia="zh-CN"/>
        </w:rPr>
        <w:t>推进新型城镇化建设，促进城乡融合发展</w:t>
      </w:r>
      <w:bookmarkEnd w:id="53"/>
      <w:bookmarkEnd w:id="189"/>
      <w:bookmarkEnd w:id="190"/>
      <w:bookmarkEnd w:id="191"/>
      <w:bookmarkEnd w:id="192"/>
      <w:bookmarkEnd w:id="193"/>
    </w:p>
    <w:p w14:paraId="5D867391">
      <w:pPr>
        <w:keepNext/>
        <w:keepLines/>
        <w:ind w:firstLine="640" w:firstLineChars="200"/>
        <w:outlineLvl w:val="9"/>
        <w:rPr>
          <w:rFonts w:hint="eastAsia"/>
          <w:color w:val="auto"/>
          <w:highlight w:val="none"/>
          <w:lang w:val="en-US" w:eastAsia="zh-CN"/>
        </w:rPr>
      </w:pPr>
      <w:bookmarkStart w:id="194" w:name="_Toc30479"/>
      <w:bookmarkStart w:id="195" w:name="_Toc11760"/>
      <w:bookmarkStart w:id="196" w:name="_Toc1315"/>
      <w:r>
        <w:rPr>
          <w:rFonts w:hint="eastAsia" w:ascii="仿宋_GB2312" w:hAnsi="仿宋_GB2312" w:eastAsia="仿宋_GB2312" w:cs="仿宋_GB2312"/>
          <w:b w:val="0"/>
          <w:bCs w:val="0"/>
          <w:color w:val="auto"/>
          <w:sz w:val="32"/>
          <w:szCs w:val="32"/>
          <w:highlight w:val="none"/>
          <w:lang w:val="en-US" w:eastAsia="zh-CN"/>
        </w:rPr>
        <w:t>新型城镇化是宾阳县实现城乡融合与高质量发展的重要引擎。必须坚持以人为核心，以县城为重要载体，统筹优化国土空间格局，完善基础设施与公共服务体系，推动产业与人口集聚协同。坚持城市内涵式发展，全面提升县域综合承载力和人居环境品质，加快形成城乡共同繁荣新局面。</w:t>
      </w:r>
    </w:p>
    <w:p w14:paraId="067F17DB">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197" w:name="_Toc4467"/>
      <w:bookmarkStart w:id="198" w:name="_Toc12663"/>
      <w:bookmarkStart w:id="199" w:name="_Toc7023"/>
      <w:r>
        <w:rPr>
          <w:rFonts w:hint="eastAsia"/>
          <w:color w:val="auto"/>
          <w:highlight w:val="none"/>
          <w:lang w:val="en-US" w:eastAsia="zh-CN"/>
        </w:rPr>
        <w:t xml:space="preserve">第一节 </w:t>
      </w:r>
      <w:bookmarkEnd w:id="194"/>
      <w:bookmarkEnd w:id="195"/>
      <w:r>
        <w:rPr>
          <w:rFonts w:hint="eastAsia"/>
          <w:color w:val="auto"/>
          <w:highlight w:val="none"/>
          <w:lang w:val="en-US" w:eastAsia="zh-CN"/>
        </w:rPr>
        <w:t>优化国土空间发展格局</w:t>
      </w:r>
      <w:bookmarkEnd w:id="197"/>
      <w:bookmarkEnd w:id="198"/>
      <w:bookmarkEnd w:id="199"/>
    </w:p>
    <w:p w14:paraId="5C65F717">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强化城镇发展空间。</w:t>
      </w:r>
      <w:r>
        <w:rPr>
          <w:rFonts w:hint="eastAsia" w:ascii="仿宋_GB2312" w:hAnsi="仿宋_GB2312" w:eastAsia="仿宋_GB2312" w:cs="仿宋_GB2312"/>
          <w:b w:val="0"/>
          <w:bCs w:val="0"/>
          <w:color w:val="auto"/>
          <w:sz w:val="32"/>
          <w:szCs w:val="32"/>
          <w:highlight w:val="none"/>
          <w:lang w:val="en-US" w:eastAsia="zh-CN"/>
        </w:rPr>
        <w:t>强化中心城区与黎塘镇核心引擎作用，构建功能互补、集约高效的城镇体系，增强辐射带动能力。中心城区着力提升综合服务能级，重点培育电子信息、智能制造与商贸服务等业态，塑造富有历史底蕴的魅力宜居城市。黎塘镇区突出枢纽门户功能，依托铁路、高速公路复合优势，高标准建设黎塘产业园与高铁经济带合作试验区，做大做强先进制造、现代物流与新型高端建材产业集群，推动产城深度融合发展。完善“中心城镇—重点镇—一般镇”协同发展网络，以G358等交通干线为发展主轴，辐射带动大桥、古辣等重点镇及特色城镇建设，形成分工明确、衔接有序的城镇功能布局。强化建设用地节约集约利用，严守城镇开发边界，新增指标优先保障产业平台与重大民生项目。全面推进低效用地再开发，优化城市路网与公共交通系统，构建城乡一体的社区生活圈，全面提升城镇综合承载力和人居环境品质。</w:t>
      </w:r>
    </w:p>
    <w:p w14:paraId="5FDC2C70">
      <w:pPr>
        <w:pageBreakBefore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筑牢农业发展空间。</w:t>
      </w:r>
      <w:r>
        <w:rPr>
          <w:rFonts w:hint="default" w:ascii="仿宋_GB2312" w:hAnsi="仿宋_GB2312" w:eastAsia="仿宋_GB2312" w:cs="仿宋_GB2312"/>
          <w:b w:val="0"/>
          <w:bCs w:val="0"/>
          <w:color w:val="auto"/>
          <w:sz w:val="32"/>
          <w:szCs w:val="32"/>
          <w:highlight w:val="none"/>
          <w:lang w:val="en-US" w:eastAsia="zh-CN"/>
        </w:rPr>
        <w:t>严格落实耕地保护优先序，优化农业生产布局，延伸产业链条，夯实粮食安全根基，全面推进乡村振兴战略实施。</w:t>
      </w:r>
      <w:r>
        <w:rPr>
          <w:rFonts w:hint="eastAsia" w:ascii="仿宋_GB2312" w:hAnsi="仿宋_GB2312" w:eastAsia="仿宋_GB2312" w:cs="仿宋_GB2312"/>
          <w:b w:val="0"/>
          <w:bCs w:val="0"/>
          <w:color w:val="auto"/>
          <w:sz w:val="32"/>
          <w:szCs w:val="32"/>
          <w:highlight w:val="none"/>
          <w:lang w:val="en-US" w:eastAsia="zh-CN"/>
        </w:rPr>
        <w:t>严守永久基本农田和耕地保护红线，</w:t>
      </w:r>
      <w:r>
        <w:rPr>
          <w:rFonts w:hint="default" w:ascii="仿宋_GB2312" w:hAnsi="仿宋_GB2312" w:eastAsia="仿宋_GB2312" w:cs="仿宋_GB2312"/>
          <w:b w:val="0"/>
          <w:bCs w:val="0"/>
          <w:color w:val="auto"/>
          <w:sz w:val="32"/>
          <w:szCs w:val="32"/>
          <w:highlight w:val="none"/>
          <w:lang w:val="en-US" w:eastAsia="zh-CN"/>
        </w:rPr>
        <w:t>坚决遏制耕地“非农化”、严格管控“非粮化”。持续推进高标准农田建设和耕地提质改造工程，重点在宾州、邹圩、大桥等区域提升耕地质量与产能，加强酸化与污染耕地治理。优化“两点两片三带”现代农业格局，巩固提升以古辣香米为核心的中部优质粮油产业片和北部双高糖料蔗产业片生产能力。强化“古辣香米”等地理标志品牌建设，保护富硒土壤资源，发展特色果蔬、生态养殖等优势产业带，推动农业规模化、优质化、品牌化发展。促进农村一二三产业深度融合，保障乡村产业发展合理用地需求，重点打造宾阳县一二三产业融合发展示范园区。依据集聚提升、城郊融合、特色保护等村庄分类，实施差异化发展引导与人居环境整治，完善乡村基础设施和公共服务配套，建设宜居宜业和美乡村</w:t>
      </w:r>
      <w:r>
        <w:rPr>
          <w:rFonts w:hint="eastAsia" w:ascii="仿宋_GB2312" w:hAnsi="仿宋_GB2312" w:cs="仿宋_GB2312"/>
          <w:b w:val="0"/>
          <w:bCs w:val="0"/>
          <w:color w:val="auto"/>
          <w:sz w:val="32"/>
          <w:szCs w:val="32"/>
          <w:highlight w:val="none"/>
          <w:lang w:val="en-US" w:eastAsia="zh-CN"/>
        </w:rPr>
        <w:t>。</w:t>
      </w:r>
    </w:p>
    <w:p w14:paraId="736BE5BE">
      <w:pPr>
        <w:keepNext w:val="0"/>
        <w:keepLines w:val="0"/>
        <w:numPr>
          <w:ilvl w:val="0"/>
          <w:numId w:val="0"/>
        </w:numPr>
        <w:ind w:firstLine="643" w:firstLineChars="200"/>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夯实安全生态空间。</w:t>
      </w:r>
      <w:r>
        <w:rPr>
          <w:rFonts w:hint="default" w:ascii="仿宋_GB2312" w:hAnsi="仿宋_GB2312" w:eastAsia="仿宋_GB2312" w:cs="仿宋_GB2312"/>
          <w:b w:val="0"/>
          <w:bCs w:val="0"/>
          <w:color w:val="auto"/>
          <w:sz w:val="32"/>
          <w:szCs w:val="32"/>
          <w:highlight w:val="none"/>
          <w:lang w:val="en-US" w:eastAsia="zh-CN"/>
        </w:rPr>
        <w:t>坚持生态优先、绿色发展，统筹山水林田湖草沙系统保护与修复，筑牢生态安全底线，提升生态系统服务功能。构建“一屏三廊多节点”县域生态安全格局，严格保护南部大明山—镇龙山核心生态屏障，加强清水河、甘棠河及山体生态廊道的保护修复，提升生态系统完整性与连通性。实施差异化生态空间管控与系统修复，严格执行生态保护红线管控</w:t>
      </w:r>
      <w:r>
        <w:rPr>
          <w:rFonts w:hint="eastAsia" w:ascii="仿宋_GB2312" w:hAnsi="仿宋_GB2312" w:cs="仿宋_GB2312"/>
          <w:b w:val="0"/>
          <w:bCs w:val="0"/>
          <w:color w:val="auto"/>
          <w:sz w:val="32"/>
          <w:szCs w:val="32"/>
          <w:highlight w:val="none"/>
          <w:lang w:val="en-US" w:eastAsia="zh-CN"/>
        </w:rPr>
        <w:t>规定</w:t>
      </w:r>
      <w:r>
        <w:rPr>
          <w:rFonts w:hint="default" w:ascii="仿宋_GB2312" w:hAnsi="仿宋_GB2312" w:eastAsia="仿宋_GB2312" w:cs="仿宋_GB2312"/>
          <w:b w:val="0"/>
          <w:bCs w:val="0"/>
          <w:color w:val="auto"/>
          <w:sz w:val="32"/>
          <w:szCs w:val="32"/>
          <w:highlight w:val="none"/>
          <w:lang w:val="en-US" w:eastAsia="zh-CN"/>
        </w:rPr>
        <w:t>，保障自然保护地核心区原真性。在生态控制区等区域限制高强度开发，规范允许开展的有限人为活动。系统推进水环境治理、森林质量提升、历史遗留矿山生态修复、石漠化与水土流失治理等重点工程，持续改善生态环境质量。强化资源节约与可持续利用，落实水资源总量与强度双控目标。科学开展国土绿化，落实造林绿化空间，提升森林碳汇能力。探索生态产品价值实现路径，在思陇、陈平等区域推动生态产业化和产业生态化，培育生态旅游、康养等绿色经济新业态。</w:t>
      </w:r>
      <w:bookmarkStart w:id="200" w:name="_Toc25288"/>
      <w:bookmarkStart w:id="201" w:name="_Toc19395"/>
    </w:p>
    <w:p w14:paraId="7F52ACAA">
      <w:pPr>
        <w:keepNext w:val="0"/>
        <w:keepLines w:val="0"/>
        <w:numPr>
          <w:ilvl w:val="0"/>
          <w:numId w:val="0"/>
        </w:numPr>
        <w:ind w:firstLine="0" w:firstLineChars="0"/>
        <w:jc w:val="center"/>
        <w:rPr>
          <w:rFonts w:hint="eastAsia" w:ascii="仿宋_GB2312" w:hAnsi="仿宋_GB2312" w:cs="仿宋_GB2312"/>
          <w:b w:val="0"/>
          <w:bCs w:val="0"/>
          <w:color w:val="auto"/>
          <w:sz w:val="32"/>
          <w:szCs w:val="32"/>
          <w:highlight w:val="none"/>
          <w:lang w:val="en-US" w:eastAsia="zh-CN"/>
        </w:rPr>
      </w:pPr>
      <w:r>
        <w:rPr>
          <w:rFonts w:hint="eastAsia" w:ascii="仿宋_GB2312" w:hAnsi="仿宋_GB2312" w:cs="仿宋_GB2312"/>
          <w:b w:val="0"/>
          <w:bCs w:val="0"/>
          <w:color w:val="auto"/>
          <w:sz w:val="32"/>
          <w:szCs w:val="32"/>
          <w:highlight w:val="none"/>
          <w:lang w:val="en-US" w:eastAsia="zh-CN"/>
        </w:rPr>
        <w:t xml:space="preserve">（图X </w:t>
      </w:r>
      <w:r>
        <w:rPr>
          <w:rFonts w:hint="eastAsia" w:ascii="仿宋_GB2312" w:hAnsi="仿宋_GB2312" w:eastAsia="仿宋_GB2312" w:cs="仿宋_GB2312"/>
          <w:b w:val="0"/>
          <w:bCs w:val="0"/>
          <w:color w:val="auto"/>
          <w:sz w:val="32"/>
          <w:szCs w:val="32"/>
          <w:highlight w:val="none"/>
          <w:lang w:val="en-US" w:eastAsia="zh-CN"/>
        </w:rPr>
        <w:t>宾阳县国土空间规划分区图</w:t>
      </w:r>
      <w:r>
        <w:rPr>
          <w:rFonts w:hint="eastAsia" w:ascii="仿宋_GB2312" w:hAnsi="仿宋_GB2312" w:cs="仿宋_GB2312"/>
          <w:b w:val="0"/>
          <w:bCs w:val="0"/>
          <w:color w:val="auto"/>
          <w:sz w:val="32"/>
          <w:szCs w:val="32"/>
          <w:highlight w:val="none"/>
          <w:lang w:val="en-US" w:eastAsia="zh-CN"/>
        </w:rPr>
        <w:t>）</w:t>
      </w:r>
    </w:p>
    <w:p w14:paraId="1748DDDC">
      <w:pPr>
        <w:pStyle w:val="2"/>
        <w:rPr>
          <w:rFonts w:hint="default"/>
          <w:color w:val="auto"/>
          <w:highlight w:val="none"/>
          <w:lang w:val="en-US" w:eastAsia="zh-CN"/>
        </w:rPr>
      </w:pPr>
    </w:p>
    <w:p w14:paraId="55735425">
      <w:pPr>
        <w:pStyle w:val="4"/>
        <w:pageBreakBefore w:val="0"/>
        <w:kinsoku/>
        <w:wordWrap/>
        <w:overflowPunct/>
        <w:topLinePunct w:val="0"/>
        <w:autoSpaceDE/>
        <w:autoSpaceDN/>
        <w:bidi w:val="0"/>
        <w:adjustRightInd/>
        <w:snapToGrid/>
        <w:spacing w:beforeLines="0" w:afterLines="0"/>
        <w:ind w:firstLine="321" w:firstLineChars="100"/>
        <w:jc w:val="center"/>
        <w:textAlignment w:val="auto"/>
        <w:rPr>
          <w:rFonts w:hint="eastAsia"/>
          <w:color w:val="auto"/>
          <w:highlight w:val="none"/>
          <w:lang w:val="en-US" w:eastAsia="zh-CN"/>
        </w:rPr>
      </w:pPr>
      <w:bookmarkStart w:id="202" w:name="_Toc16315"/>
      <w:bookmarkStart w:id="203" w:name="_Toc4571"/>
      <w:bookmarkStart w:id="204" w:name="_Toc16797"/>
      <w:r>
        <w:rPr>
          <w:rFonts w:hint="eastAsia"/>
          <w:color w:val="auto"/>
          <w:highlight w:val="none"/>
          <w:lang w:val="en-US" w:eastAsia="zh-CN"/>
        </w:rPr>
        <w:t xml:space="preserve">第二节 </w:t>
      </w:r>
      <w:bookmarkEnd w:id="200"/>
      <w:bookmarkEnd w:id="201"/>
      <w:r>
        <w:rPr>
          <w:rFonts w:hint="eastAsia"/>
          <w:color w:val="auto"/>
          <w:highlight w:val="none"/>
          <w:lang w:val="en-US" w:eastAsia="zh-CN"/>
        </w:rPr>
        <w:t>夯实新型城镇化核心基础</w:t>
      </w:r>
      <w:bookmarkEnd w:id="202"/>
      <w:bookmarkEnd w:id="203"/>
      <w:bookmarkEnd w:id="204"/>
    </w:p>
    <w:p w14:paraId="36ACC756">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lang w:val="en-US" w:eastAsia="zh-CN"/>
        </w:rPr>
        <w:t>优化城镇空间布局。</w:t>
      </w:r>
      <w:r>
        <w:rPr>
          <w:rFonts w:hint="eastAsia" w:ascii="仿宋_GB2312" w:hAnsi="仿宋_GB2312" w:eastAsia="仿宋_GB2312" w:cs="仿宋_GB2312"/>
          <w:b w:val="0"/>
          <w:bCs w:val="0"/>
          <w:color w:val="auto"/>
          <w:sz w:val="32"/>
          <w:szCs w:val="32"/>
          <w:highlight w:val="none"/>
          <w:u w:val="none" w:color="auto"/>
          <w:shd w:val="clear" w:fill="FFFFFF"/>
          <w:lang w:val="en-US" w:eastAsia="zh-CN"/>
        </w:rPr>
        <w:t>深入推进以人为本、以县城为重要载体的新型城镇化，</w:t>
      </w:r>
      <w:r>
        <w:rPr>
          <w:rFonts w:hint="eastAsia" w:ascii="仿宋_GB2312" w:hAnsi="仿宋_GB2312" w:eastAsia="仿宋_GB2312" w:cs="仿宋_GB2312"/>
          <w:b w:val="0"/>
          <w:bCs w:val="0"/>
          <w:color w:val="auto"/>
          <w:sz w:val="32"/>
          <w:szCs w:val="32"/>
          <w:highlight w:val="none"/>
          <w:u w:val="none" w:color="auto"/>
          <w:lang w:val="en-US" w:eastAsia="zh-CN"/>
        </w:rPr>
        <w:t>以国土空间总体规划为引领，积极推动宾阳－兴宁－青秀城乡融合发展示范走廊建设。全面统筹县域城乡发展，着力构建“一轴双核、一带一路”的城镇发展空间格局。“一轴”即西联南宁、东接粤港澳大湾区的城镇发展主轴，串联新桥镇、宾州镇、大桥镇、王灵镇、黎塘镇等，形成经济发展联动走廊。“双核”指中心城区和黎塘镇区两大增长极，实施差异化发展战略。中心城区强化综合服务功能，培育商业休闲、电子信息、智能制造等新业态；黎塘镇区依托交通枢纽优势，强化门户功能，以工业物流带动城镇化，实现产城融合。“一带”指“甘棠镇—露圩镇—古辣镇—中华镇—武陵镇—新圩镇—邹圩镇”城镇发展带，引导要素集聚，高质量推进黎塘产业园、宾州电子信息产业园等重要载体提质发展，承接东部产业转移。“一区”指双核驱动发展区，强化产业、交通、公共服务和基础设施的互联互通与一体化发展，形成辐射全县的强劲引擎。</w:t>
      </w:r>
    </w:p>
    <w:p w14:paraId="20659D6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lang w:val="en-US" w:eastAsia="zh-CN"/>
        </w:rPr>
        <w:t>提高城市基础设施承载能力。</w:t>
      </w:r>
      <w:r>
        <w:rPr>
          <w:rFonts w:hint="eastAsia" w:ascii="仿宋_GB2312" w:hAnsi="仿宋_GB2312" w:eastAsia="仿宋_GB2312" w:cs="仿宋_GB2312"/>
          <w:b w:val="0"/>
          <w:bCs w:val="0"/>
          <w:color w:val="auto"/>
          <w:sz w:val="32"/>
          <w:szCs w:val="32"/>
          <w:highlight w:val="none"/>
          <w:u w:val="none" w:color="auto"/>
          <w:lang w:val="en-US" w:eastAsia="zh-CN"/>
        </w:rPr>
        <w:t>加大城市平急两用公共基础设施建设力度，统筹推进防洪排涝、应急救援、公共卫生等设施建设与改造，增强城市应对突发事件的综合韧性。系统推进数字化、网络化、智能化新型基础设施建设，加速5G网络、物联网、数据中心在城区的深度覆盖与融合应用，夯实智慧城市数字底座。持续推进城市道路更新与海绵化改造，重新铺设破损路面，推广透水铺装材料，加强雨水蓄滞与资源化利用，增强城市海绵功能。实施市政管网提质工程，推进雨污分流改造与地下管网智能化监测，升级绿化照明体系，推广智慧路灯与绿色照明技术。结合城市更新与园区配套，统筹推进变电站、燃气、通信等管网设施共建共享，逐步构建安全高效、智能绿色、集约弹性的现代城市基础设施体系，全面提升城市综合承载与服务能力。</w:t>
      </w:r>
    </w:p>
    <w:p w14:paraId="1F20227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highlight w:val="none"/>
          <w:lang w:val="en-US" w:eastAsia="zh-CN"/>
        </w:rPr>
        <w:t>有序推进农业转移人口市民化。</w:t>
      </w:r>
      <w:r>
        <w:rPr>
          <w:rFonts w:hint="eastAsia" w:ascii="仿宋_GB2312" w:hAnsi="仿宋_GB2312" w:eastAsia="仿宋_GB2312" w:cs="仿宋_GB2312"/>
          <w:b w:val="0"/>
          <w:bCs w:val="0"/>
          <w:color w:val="auto"/>
          <w:sz w:val="32"/>
          <w:szCs w:val="32"/>
          <w:highlight w:val="none"/>
          <w:u w:val="none" w:color="auto"/>
          <w:lang w:val="en-US" w:eastAsia="zh-CN"/>
        </w:rPr>
        <w:t>畅通城乡人口双向流动渠道，全面落实以经常居住地登记户口的制度，建立健全与户籍脱钩的基本公共服务提供机制。强化产业就业支撑，依托工业园区、县域重点产业与服务业发展，扩大高质量就业岗位供给，开展针对性职业技能培训，促进农业转移人口稳定就业。完善教育、医疗、社保等基本公共服务配套，推动城镇公共服务资源扩容下沉，保障农业转移人口随迁子女平等接受义务教育，扩大医疗保障跨制度、跨地区衔接覆盖，健全住房保障体系，发展面向新市民的小户型保障性租赁住房。建立“人地钱”挂钩激励机制，优化财政转移支付与城镇建设用地指标分配，推动人口城镇化与公共服务均等化协同推进。通过系统施策、稳步推进，实现农业转移人口“进得来、留得住、过得好”，持续提升全县常住人口城镇化率与市民化质量。</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2489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6EB7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专栏9 提升城镇化承载能力重点项目</w:t>
            </w:r>
          </w:p>
          <w:p w14:paraId="71E4FD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宾阳县城镇供水管网延伸工程、宾阳县城区公共供水管网漏损治理一期项目、宾阳县管道直饮水产业示范项目、宾阳县城区老旧供水管网改扩建项目、宾阳县城市停车场及配套基础设施、宾阳县数字园区项目、宾阳县智慧路灯建设项目、宾阳县湿地工程项目、宾阳县黎塘排水防涝及配套设施建设项目。</w:t>
            </w:r>
          </w:p>
        </w:tc>
      </w:tr>
    </w:tbl>
    <w:p w14:paraId="65A8AA57">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p>
    <w:p w14:paraId="20521701">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05" w:name="_Toc2015"/>
      <w:bookmarkStart w:id="206" w:name="_Toc6903"/>
      <w:bookmarkStart w:id="207" w:name="_Toc22613"/>
      <w:bookmarkStart w:id="208" w:name="_Toc5917"/>
      <w:bookmarkStart w:id="209" w:name="_Toc22291"/>
      <w:r>
        <w:rPr>
          <w:rFonts w:hint="eastAsia"/>
          <w:color w:val="auto"/>
          <w:highlight w:val="none"/>
          <w:lang w:val="en-US" w:eastAsia="zh-CN"/>
        </w:rPr>
        <w:t xml:space="preserve">第三节 </w:t>
      </w:r>
      <w:bookmarkEnd w:id="205"/>
      <w:bookmarkEnd w:id="206"/>
      <w:r>
        <w:rPr>
          <w:rFonts w:hint="eastAsia"/>
          <w:color w:val="auto"/>
          <w:highlight w:val="none"/>
          <w:lang w:val="en-US" w:eastAsia="zh-CN"/>
        </w:rPr>
        <w:t>推动城镇产业空间升级</w:t>
      </w:r>
      <w:bookmarkEnd w:id="207"/>
      <w:bookmarkEnd w:id="208"/>
      <w:bookmarkEnd w:id="209"/>
    </w:p>
    <w:bookmarkEnd w:id="196"/>
    <w:p w14:paraId="0EBACD3D">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强化规划引领明确产业功能定位。</w:t>
      </w:r>
      <w:r>
        <w:rPr>
          <w:rFonts w:hint="eastAsia" w:ascii="仿宋_GB2312" w:hAnsi="仿宋_GB2312" w:eastAsia="仿宋_GB2312" w:cs="仿宋_GB2312"/>
          <w:b w:val="0"/>
          <w:bCs w:val="0"/>
          <w:color w:val="auto"/>
          <w:sz w:val="32"/>
          <w:szCs w:val="32"/>
          <w:highlight w:val="none"/>
          <w:lang w:val="en-US" w:eastAsia="zh-CN"/>
        </w:rPr>
        <w:t>坚持规划引领，强化区域协同与功能互补，加快构建城镇产业空间新格局。突出黎塘工业园区“一区多园”发展架构，以产业链为主线统筹优化各片区功能定位，推动产业布局从分散向集聚、从同质向特色转变。重点实施产业空间再造工程，依据资源禀赋与产业基础，科学确定各片区主导产业，推进产业链、创新链、价值链深度融合。强化规划管控与政策引导，建立“一区一策”差异化支持机制，推动土地、资金、人才等要素向重点产业倾斜。同步完善“多规合一”实施机制，统筹生产、生活、生态空间，促进产城融合与集约发展，构建功能清晰、衔接有序、韧性持续的现代产业空间体系，为县域经济高质量发展奠定坚实框架。</w:t>
      </w:r>
    </w:p>
    <w:p w14:paraId="6AE89AA7">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推动片区协同构建特色产业集群。</w:t>
      </w:r>
      <w:r>
        <w:rPr>
          <w:rFonts w:hint="eastAsia" w:ascii="仿宋_GB2312" w:hAnsi="仿宋_GB2312" w:eastAsia="仿宋_GB2312" w:cs="仿宋_GB2312"/>
          <w:b w:val="0"/>
          <w:bCs w:val="0"/>
          <w:color w:val="auto"/>
          <w:sz w:val="32"/>
          <w:szCs w:val="32"/>
          <w:highlight w:val="none"/>
          <w:lang w:val="en-US" w:eastAsia="zh-CN"/>
        </w:rPr>
        <w:t>黎塘片区重点发展新型建材、林木产业及铜铝精深加工，依托华控铝铜新材料等项目打造高端材料基地；宾州片区聚焦电子信息、新能源新材料与低空经济，持续建设宾州电子信息产业园与低空经济示范园；新桥片区着力发展先进装备制造，推进智能装备与新能源汽车零配件产业集聚；王灵片区主攻新能源新材料与绿色家居，支持光伏组件、环保建材等项目落地；古辣片区重点打造食品加工产业，建设香米精深加工综合产业园与预制菜生产基地。通过明确各片区主导产业及配套链条，推动产业链上下游企业集聚，促进跨园区技术协作与资源共享。同步完善基础设施互联互通，建立产业协同与利益共享机制，形成“一区一特色、一片一集群”的发展格局，全面提升县域产业整体竞争力与抗风险能力。</w:t>
      </w:r>
    </w:p>
    <w:p w14:paraId="13767306">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推进各镇产业协同发展。</w:t>
      </w:r>
      <w:r>
        <w:rPr>
          <w:rFonts w:hint="eastAsia" w:ascii="仿宋_GB2312" w:hAnsi="仿宋_GB2312" w:eastAsia="仿宋_GB2312" w:cs="仿宋_GB2312"/>
          <w:b w:val="0"/>
          <w:bCs w:val="0"/>
          <w:color w:val="auto"/>
          <w:sz w:val="32"/>
          <w:szCs w:val="32"/>
          <w:highlight w:val="none"/>
          <w:lang w:val="en-US" w:eastAsia="zh-CN"/>
        </w:rPr>
        <w:t>引导各镇立足资源禀赋与产业基础，培育壮大“一镇一品”特色经济，构建功能清晰、优势互补、联动高效的县域产业发展新格局。支持黎塘镇深化“区镇合一”管理体制改革，聚焦工业经济发展主责主业，强化重大项目落地保障与低效用地再开发。推动新桥镇依托“纸产品加工特色小镇”与大罗五金创业园基础，向纸制品精深加工、高端五金制造等方向升级，促进传统产业提质增效。鼓励其他乡镇差异化发展，古辣镇聚焦现代农业与文旅融合，邹圩镇发展特色水产养殖与生态农业，陈平镇培育名山生态旅游与康养产业，新圩镇强化商贸物流节点功能。通过县级层面加强统筹规划、政策引导与基础设施互联互通，建立产业协同与利益共享机制，有效避免同质化竞争，推动形成多点支撑、特色鲜明、网络化发展的镇域经济体系，全面提升县域产业发展的整体韧性与综合竞争力。</w:t>
      </w:r>
    </w:p>
    <w:p w14:paraId="4203EFE4">
      <w:pPr>
        <w:pStyle w:val="4"/>
        <w:ind w:firstLine="0" w:firstLineChars="0"/>
        <w:jc w:val="center"/>
        <w:rPr>
          <w:rFonts w:hint="eastAsia" w:ascii="Times New Roman" w:hAnsi="Times New Roman"/>
          <w:color w:val="auto"/>
          <w:highlight w:val="none"/>
          <w:lang w:val="en-US" w:eastAsia="zh-CN"/>
        </w:rPr>
      </w:pPr>
      <w:bookmarkStart w:id="210" w:name="_Toc15604"/>
      <w:bookmarkStart w:id="211" w:name="_Toc1659"/>
      <w:bookmarkStart w:id="212" w:name="_Toc31514"/>
      <w:r>
        <w:rPr>
          <w:rFonts w:hint="eastAsia" w:ascii="Times New Roman" w:hAnsi="Times New Roman"/>
          <w:b/>
          <w:bCs w:val="0"/>
          <w:color w:val="auto"/>
          <w:sz w:val="32"/>
          <w:szCs w:val="24"/>
          <w:highlight w:val="none"/>
          <w:u w:val="none"/>
          <w:lang w:val="en-US" w:eastAsia="zh-CN"/>
        </w:rPr>
        <w:t>第四节 深化城市更新行动</w:t>
      </w:r>
      <w:bookmarkEnd w:id="210"/>
      <w:bookmarkEnd w:id="211"/>
      <w:bookmarkEnd w:id="212"/>
    </w:p>
    <w:p w14:paraId="49C2F79E">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推进老旧小区综合改造。</w:t>
      </w:r>
      <w:r>
        <w:rPr>
          <w:rFonts w:hint="eastAsia" w:ascii="仿宋_GB2312" w:hAnsi="仿宋_GB2312" w:eastAsia="仿宋_GB2312" w:cs="仿宋_GB2312"/>
          <w:b w:val="0"/>
          <w:bCs w:val="0"/>
          <w:color w:val="auto"/>
          <w:sz w:val="32"/>
          <w:szCs w:val="32"/>
          <w:highlight w:val="none"/>
          <w:lang w:val="en-US" w:eastAsia="zh-CN"/>
        </w:rPr>
        <w:t>坚持城市内涵式发展，以提升居民生活品质为核心，系统推进老旧小区改造。建立健全“居民参与、政府引导、市场运作”机制，在已完成老旧小区改造的基础上，推动改造向连片街区延伸。重点实施水电气路信等老化管线设施更新，推进老旧电梯更新及合规楼栋加装电梯，破解“上下楼”难题。同步完善小区消防水源、安防、照明、垃圾分类及雨污分流等配套基础设施建设，推动连片自建房区域性隐患治理。结合宾阳县背街小巷整治、城市管网补短板等工程，联动推进管线入地、停车位增设、海绵化改造，系统改善居住环境。强化改后长效管理，推动物业管理全覆盖，巩固提升改造成果。</w:t>
      </w:r>
    </w:p>
    <w:p w14:paraId="688CD212">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完善社区服务功能。</w:t>
      </w:r>
      <w:r>
        <w:rPr>
          <w:rFonts w:hint="eastAsia" w:ascii="仿宋_GB2312" w:hAnsi="仿宋_GB2312" w:eastAsia="仿宋_GB2312" w:cs="仿宋_GB2312"/>
          <w:b w:val="0"/>
          <w:bCs w:val="0"/>
          <w:color w:val="auto"/>
          <w:sz w:val="32"/>
          <w:szCs w:val="32"/>
          <w:highlight w:val="none"/>
          <w:lang w:val="en-US" w:eastAsia="zh-CN"/>
        </w:rPr>
        <w:t>全面整合社区闲置空间资源，加强养老托育、教育、卫生健康、文化等公共服务基础设施更新建设。推广功能复合的“一站式”嵌入式服务综合体，在保障房及更新片区优先配建社区食堂、托育中心等，着力打造“15分钟便民生活圈”。加快智慧社区平台建设，推动政务、便民、物业服务线上集成，普及智能安防、智慧停车等应用。借鉴“工业邻里中心”模式，在产业园区周边社区集成居住、商业与公共服务，服务产业人口。通过数字化赋能，实现社区治理精准化、服务智能化，营造便捷安全的居住环境。</w:t>
      </w:r>
    </w:p>
    <w:p w14:paraId="17717FA5">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塑造特色城市风貌。</w:t>
      </w:r>
      <w:r>
        <w:rPr>
          <w:rFonts w:hint="eastAsia" w:ascii="仿宋_GB2312" w:hAnsi="仿宋_GB2312" w:eastAsia="仿宋_GB2312" w:cs="仿宋_GB2312"/>
          <w:b w:val="0"/>
          <w:bCs w:val="0"/>
          <w:color w:val="auto"/>
          <w:sz w:val="32"/>
          <w:szCs w:val="32"/>
          <w:highlight w:val="none"/>
          <w:lang w:val="en-US" w:eastAsia="zh-CN"/>
        </w:rPr>
        <w:t>坚持保护优先、活化利用原则，深入挖掘宾阳炮龙文化、壮锦技艺等特色民俗文化资源，加强对宾州古城历史文化街区、历史建筑的保护修缮与创新利用。在保护历史格局和风貌的同时，植入文化展示、创意商业、特色民宿等新业态，推动静态保护向活态传承转变，将自然生态景观与地方人文底蕴有机融入城市设计与更新项目。借鉴“公园城市”理念，推进城市蓝绿网络与公共空间体系建设，完善口袋公园、绿道建设，在枫江渠、七里支渠等河道治理中融入生态景观与休闲功能。促进生态、文化与城市功能融合发展，打造宾阳特色文化展示节点，将文化元素嵌入街道家具、公共艺术和建筑风貌，塑造彰显历史记忆、富有地域特色、展现时代风貌的城市形象，提升城市文化辨识度和吸引力。</w:t>
      </w:r>
    </w:p>
    <w:p w14:paraId="3CF1ECBD">
      <w:pPr>
        <w:pStyle w:val="4"/>
        <w:ind w:firstLine="0" w:firstLineChars="0"/>
        <w:jc w:val="center"/>
        <w:rPr>
          <w:rFonts w:hint="eastAsia" w:ascii="Times New Roman" w:hAnsi="Times New Roman" w:eastAsia="楷体_GB2312" w:cstheme="minorBidi"/>
          <w:b/>
          <w:bCs w:val="0"/>
          <w:color w:val="auto"/>
          <w:sz w:val="32"/>
          <w:szCs w:val="24"/>
          <w:highlight w:val="none"/>
          <w:u w:val="none"/>
          <w:lang w:val="en-US" w:eastAsia="zh-CN"/>
        </w:rPr>
      </w:pPr>
      <w:bookmarkStart w:id="213" w:name="_Toc28839"/>
      <w:bookmarkStart w:id="214" w:name="_Toc17220"/>
      <w:bookmarkStart w:id="215" w:name="_Toc5619"/>
      <w:r>
        <w:rPr>
          <w:rFonts w:hint="eastAsia" w:ascii="Times New Roman" w:hAnsi="Times New Roman"/>
          <w:b/>
          <w:bCs w:val="0"/>
          <w:color w:val="auto"/>
          <w:sz w:val="32"/>
          <w:szCs w:val="24"/>
          <w:highlight w:val="none"/>
          <w:u w:val="none"/>
          <w:lang w:val="en-US" w:eastAsia="zh-CN"/>
        </w:rPr>
        <w:t>第五节 健全多层次住房保障与供应体系</w:t>
      </w:r>
      <w:bookmarkEnd w:id="213"/>
      <w:bookmarkEnd w:id="214"/>
      <w:bookmarkEnd w:id="215"/>
    </w:p>
    <w:p w14:paraId="5C29608B">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加强保障性住房供给与结构优化。</w:t>
      </w:r>
      <w:r>
        <w:rPr>
          <w:rFonts w:hint="default" w:ascii="仿宋_GB2312" w:hAnsi="仿宋_GB2312" w:eastAsia="仿宋_GB2312" w:cs="仿宋_GB2312"/>
          <w:b w:val="0"/>
          <w:bCs w:val="0"/>
          <w:color w:val="auto"/>
          <w:sz w:val="32"/>
          <w:szCs w:val="32"/>
          <w:highlight w:val="none"/>
          <w:lang w:val="en-US" w:eastAsia="zh-CN"/>
        </w:rPr>
        <w:t xml:space="preserve"> 聚焦低收入住房困难家庭、新市民、青年人才及先进制造业、现代服务业等重点产业用工的居住需求，精准扩大保障性住房有效供给。综合运用新建、配建、盘活存量等方式，优先规划建设小户型、低租金的保障性租赁住房，并稳妥推进配售型保障性住房试点。健全与产业发展、人口集聚动态匹配的“产业用地配建保障房”比例调整机制，探索“租售补”相结合的政策支持体系。完善从准入、分配到退出的全流程数字化管理，确保公平透明。构建覆盖全面、分层精准、租购并举、管理规范的现代化住房保障体系，显著增强住房保障的公平性、可及性与获得感，为人才引进与产业升级提供坚实的居住支撑。</w:t>
      </w:r>
    </w:p>
    <w:p w14:paraId="7B05C12B">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加快构建规范化住房租赁市场。</w:t>
      </w:r>
      <w:r>
        <w:rPr>
          <w:rFonts w:hint="default" w:ascii="仿宋_GB2312" w:hAnsi="仿宋_GB2312" w:eastAsia="仿宋_GB2312" w:cs="仿宋_GB2312"/>
          <w:b w:val="0"/>
          <w:bCs w:val="0"/>
          <w:color w:val="auto"/>
          <w:sz w:val="32"/>
          <w:szCs w:val="32"/>
          <w:highlight w:val="none"/>
          <w:lang w:val="en-US" w:eastAsia="zh-CN"/>
        </w:rPr>
        <w:t>鼓励和支持国有平台公司、专业运营机构及市场主体，多途径参与租赁住房的投资建设与规模化、专业化运营。强化政策引导与市场规范，建立健全租赁房源核验、合同网签备案、租金监测与发布等基础性制度，规范租赁中介服务行为，保障租赁双方合法权益。推动符合条件的承租人逐步在就业、教育、医疗等方面享有基本公共服务便利，稳步落实“租购同权”探索。加快构建政府政策引导、市场主体运作、服务监管到位的“购租并举、租售互补”住房制度新格局，为新就业大学生、青年技术工人、外来务工人员等群体提供稳定、规范、多元化的租赁选择，促进住房消费梯次升级与房地产市场平稳健康发展。</w:t>
      </w:r>
    </w:p>
    <w:p w14:paraId="34668469">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推动房地产业健康与可持续发展。</w:t>
      </w:r>
      <w:r>
        <w:rPr>
          <w:rFonts w:hint="default" w:ascii="仿宋_GB2312" w:hAnsi="仿宋_GB2312" w:eastAsia="仿宋_GB2312" w:cs="仿宋_GB2312"/>
          <w:b w:val="0"/>
          <w:bCs w:val="0"/>
          <w:color w:val="auto"/>
          <w:sz w:val="32"/>
          <w:szCs w:val="32"/>
          <w:highlight w:val="none"/>
          <w:lang w:val="en-US" w:eastAsia="zh-CN"/>
        </w:rPr>
        <w:t>根据人口变化趋势精准研判住房需求，科学统筹土地供应与金融资源配置，构建“以人定房、以房定地、以房定钱”的房地产行业发展新模式。严格限制超高层建筑建设。全面推进绿色建筑高质量发展，大力推广超低能耗、近零能耗建筑与装配式建造方式，加快新型绿色建材、智能建造技术的研发与应用，加大既有公共建筑和居住建筑节能改造力度。</w:t>
      </w:r>
      <w:r>
        <w:rPr>
          <w:rFonts w:hint="eastAsia" w:ascii="仿宋_GB2312" w:hAnsi="仿宋_GB2312" w:eastAsia="仿宋_GB2312" w:cs="仿宋_GB2312"/>
          <w:b w:val="0"/>
          <w:bCs w:val="0"/>
          <w:color w:val="auto"/>
          <w:sz w:val="32"/>
          <w:szCs w:val="32"/>
          <w:highlight w:val="none"/>
          <w:lang w:val="en-US" w:eastAsia="zh-CN"/>
        </w:rPr>
        <w:t>系统推进安全舒适绿色智慧的“好房子”建设</w:t>
      </w:r>
      <w:r>
        <w:rPr>
          <w:rFonts w:hint="default" w:ascii="仿宋_GB2312" w:hAnsi="仿宋_GB2312" w:eastAsia="仿宋_GB2312" w:cs="仿宋_GB2312"/>
          <w:b w:val="0"/>
          <w:bCs w:val="0"/>
          <w:color w:val="auto"/>
          <w:sz w:val="32"/>
          <w:szCs w:val="32"/>
          <w:highlight w:val="none"/>
          <w:lang w:val="en-US" w:eastAsia="zh-CN"/>
        </w:rPr>
        <w:t>，推动住宅设计标准、建造工艺和居住品质全面提升。持续强化房地产市场监测监管与风险预警处置，用足用好房地产融资协调机制，扎实做好“保交楼、稳民生”工作，引导房地产业向注重品质、服务和可持续运营的新发展模式平稳转型，实现市场平稳运行、人居环境改善与城市能级提升的协同共进。</w:t>
      </w:r>
    </w:p>
    <w:p w14:paraId="5D7DE396">
      <w:pPr>
        <w:pStyle w:val="3"/>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eastAsia="黑体" w:cs="Times New Roman" w:asciiTheme="minorAscii" w:hAnsiTheme="minorAscii"/>
          <w:b/>
          <w:bCs w:val="0"/>
          <w:color w:val="auto"/>
          <w:sz w:val="32"/>
          <w:szCs w:val="32"/>
          <w:highlight w:val="none"/>
        </w:rPr>
        <w:sectPr>
          <w:pgSz w:w="11906" w:h="16838"/>
          <w:pgMar w:top="1440" w:right="1800" w:bottom="1440" w:left="1800" w:header="851" w:footer="992" w:gutter="0"/>
          <w:pgNumType w:fmt="numberInDash"/>
          <w:cols w:space="425" w:num="1"/>
          <w:docGrid w:type="lines" w:linePitch="312" w:charSpace="0"/>
        </w:sectPr>
      </w:pPr>
      <w:bookmarkStart w:id="216" w:name="_Toc28724"/>
    </w:p>
    <w:p w14:paraId="5931C160">
      <w:pPr>
        <w:pStyle w:val="3"/>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eastAsia="黑体" w:cs="Times New Roman" w:asciiTheme="minorAscii" w:hAnsiTheme="minorAscii"/>
          <w:b/>
          <w:bCs w:val="0"/>
          <w:color w:val="auto"/>
          <w:sz w:val="32"/>
          <w:szCs w:val="32"/>
          <w:highlight w:val="none"/>
        </w:rPr>
      </w:pPr>
      <w:bookmarkStart w:id="217" w:name="_Toc21327"/>
      <w:bookmarkStart w:id="218" w:name="_Toc21436"/>
      <w:bookmarkStart w:id="219" w:name="_Toc27118"/>
      <w:bookmarkStart w:id="220" w:name="_Toc21536"/>
      <w:r>
        <w:rPr>
          <w:rFonts w:hint="eastAsia" w:eastAsia="黑体" w:cs="Times New Roman" w:asciiTheme="minorAscii" w:hAnsiTheme="minorAscii"/>
          <w:b/>
          <w:bCs w:val="0"/>
          <w:color w:val="auto"/>
          <w:sz w:val="32"/>
          <w:szCs w:val="32"/>
          <w:highlight w:val="none"/>
        </w:rPr>
        <w:fldChar w:fldCharType="begin"/>
      </w:r>
      <w:r>
        <w:rPr>
          <w:rFonts w:hint="eastAsia" w:eastAsia="黑体" w:cs="Times New Roman" w:asciiTheme="minorAscii" w:hAnsiTheme="minorAscii"/>
          <w:b/>
          <w:bCs w:val="0"/>
          <w:color w:val="auto"/>
          <w:sz w:val="32"/>
          <w:szCs w:val="32"/>
          <w:highlight w:val="none"/>
        </w:rPr>
        <w:instrText xml:space="preserve"> HYPERLINK \l _Toc22678 </w:instrText>
      </w:r>
      <w:r>
        <w:rPr>
          <w:rFonts w:hint="eastAsia" w:eastAsia="黑体" w:cs="Times New Roman" w:asciiTheme="minorAscii" w:hAnsiTheme="minorAscii"/>
          <w:b/>
          <w:bCs w:val="0"/>
          <w:color w:val="auto"/>
          <w:sz w:val="32"/>
          <w:szCs w:val="32"/>
          <w:highlight w:val="none"/>
        </w:rPr>
        <w:fldChar w:fldCharType="separate"/>
      </w:r>
      <w:r>
        <w:rPr>
          <w:rFonts w:hint="eastAsia" w:eastAsia="黑体" w:cs="Times New Roman" w:asciiTheme="minorAscii" w:hAnsiTheme="minorAscii"/>
          <w:b w:val="0"/>
          <w:bCs/>
          <w:color w:val="auto"/>
          <w:sz w:val="32"/>
          <w:szCs w:val="32"/>
          <w:highlight w:val="none"/>
          <w:lang w:val="en-US" w:eastAsia="zh-CN"/>
        </w:rPr>
        <w:t>第十章</w:t>
      </w:r>
      <w:r>
        <w:rPr>
          <w:rFonts w:hint="eastAsia" w:eastAsia="黑体" w:cs="Times New Roman" w:asciiTheme="minorAscii" w:hAnsiTheme="minorAscii"/>
          <w:b/>
          <w:bCs w:val="0"/>
          <w:color w:val="auto"/>
          <w:sz w:val="32"/>
          <w:szCs w:val="32"/>
          <w:highlight w:val="none"/>
          <w:lang w:val="en-US" w:eastAsia="zh-CN"/>
        </w:rPr>
        <w:t xml:space="preserve"> </w:t>
      </w:r>
      <w:r>
        <w:rPr>
          <w:rFonts w:hint="eastAsia" w:eastAsia="黑体" w:cs="Times New Roman" w:asciiTheme="minorAscii" w:hAnsiTheme="minorAscii"/>
          <w:b/>
          <w:bCs w:val="0"/>
          <w:color w:val="auto"/>
          <w:sz w:val="32"/>
          <w:szCs w:val="32"/>
          <w:highlight w:val="none"/>
        </w:rPr>
        <w:fldChar w:fldCharType="end"/>
      </w:r>
      <w:bookmarkEnd w:id="216"/>
      <w:bookmarkEnd w:id="217"/>
      <w:r>
        <w:rPr>
          <w:rFonts w:hint="eastAsia" w:eastAsia="黑体" w:asciiTheme="minorAscii" w:hAnsiTheme="minorAscii"/>
          <w:b w:val="0"/>
          <w:bCs w:val="0"/>
          <w:color w:val="auto"/>
          <w:sz w:val="32"/>
          <w:szCs w:val="32"/>
          <w:highlight w:val="none"/>
          <w:u w:val="none"/>
          <w:lang w:val="en-US" w:eastAsia="zh-CN"/>
        </w:rPr>
        <w:t>繁荣发展宾阳文化，增强县域软实力</w:t>
      </w:r>
      <w:bookmarkEnd w:id="218"/>
      <w:bookmarkEnd w:id="219"/>
      <w:bookmarkEnd w:id="220"/>
    </w:p>
    <w:p w14:paraId="69847C1E">
      <w:pPr>
        <w:pStyle w:val="11"/>
        <w:pageBreakBefore w:val="0"/>
        <w:tabs>
          <w:tab w:val="right" w:leader="dot" w:pos="8306"/>
        </w:tabs>
        <w:kinsoku/>
        <w:wordWrap/>
        <w:overflowPunct/>
        <w:topLinePunct w:val="0"/>
        <w:autoSpaceDE/>
        <w:autoSpaceDN/>
        <w:bidi w:val="0"/>
        <w:adjustRightInd/>
        <w:snapToGrid/>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rPr>
      </w:pPr>
      <w:bookmarkStart w:id="221" w:name="_Toc9823"/>
      <w:bookmarkStart w:id="222" w:name="_Toc15594"/>
      <w:r>
        <w:rPr>
          <w:rFonts w:hint="eastAsia" w:ascii="仿宋_GB2312" w:hAnsi="仿宋_GB2312" w:eastAsia="仿宋_GB2312" w:cs="仿宋_GB2312"/>
          <w:color w:val="auto"/>
          <w:sz w:val="32"/>
          <w:szCs w:val="32"/>
          <w:highlight w:val="none"/>
        </w:rPr>
        <w:t>文化是发展的坚实根基与内在动力。必须坚定文化自信，秉持开放包容，坚持守正创新，将文化繁荣作为现代化建设的关键支点。</w:t>
      </w:r>
      <w:r>
        <w:rPr>
          <w:rFonts w:hint="eastAsia" w:ascii="仿宋_GB2312" w:hAnsi="仿宋_GB2312" w:eastAsia="仿宋_GB2312" w:cs="仿宋_GB2312"/>
          <w:color w:val="auto"/>
          <w:sz w:val="32"/>
          <w:szCs w:val="32"/>
          <w:highlight w:val="none"/>
          <w:lang w:val="en-US" w:eastAsia="zh-CN"/>
        </w:rPr>
        <w:t>宾阳</w:t>
      </w:r>
      <w:r>
        <w:rPr>
          <w:rFonts w:hint="eastAsia" w:ascii="仿宋_GB2312" w:hAnsi="仿宋_GB2312" w:eastAsia="仿宋_GB2312" w:cs="仿宋_GB2312"/>
          <w:color w:val="auto"/>
          <w:sz w:val="32"/>
          <w:szCs w:val="32"/>
          <w:highlight w:val="none"/>
        </w:rPr>
        <w:t>县将以《南宁市宾阳炮龙文化保护规定》立法实施为契机，系统保护、活态传承和创新发展以宾阳炮龙为代表的非物质文化遗产。通过法治护航、科技赋能、产业融合和人才支撑，深度挖掘文化资源的时代价值，推动其创造性转化与创新性发展，使之成为彰显地域魅力、赋能产业发展、凝聚精神力量的重要源泉，为谱写中国式现代化宾阳篇章提供丰润的文化滋养和强大的价值引领。</w:t>
      </w:r>
    </w:p>
    <w:p w14:paraId="1F88C701">
      <w:pPr>
        <w:pStyle w:val="11"/>
        <w:pageBreakBefore w:val="0"/>
        <w:tabs>
          <w:tab w:val="right" w:leader="dot" w:pos="8306"/>
        </w:tabs>
        <w:kinsoku/>
        <w:wordWrap/>
        <w:overflowPunct/>
        <w:topLinePunct w:val="0"/>
        <w:autoSpaceDE/>
        <w:autoSpaceDN/>
        <w:bidi w:val="0"/>
        <w:adjustRightInd/>
        <w:snapToGrid/>
        <w:ind w:left="0" w:leftChars="0" w:firstLine="0" w:firstLineChars="0"/>
        <w:jc w:val="center"/>
        <w:textAlignment w:val="auto"/>
        <w:outlineLvl w:val="1"/>
        <w:rPr>
          <w:rStyle w:val="19"/>
          <w:rFonts w:hint="default"/>
          <w:color w:val="auto"/>
          <w:highlight w:val="none"/>
          <w:lang w:val="en-US" w:eastAsia="zh-CN"/>
        </w:rPr>
      </w:pPr>
      <w:bookmarkStart w:id="223" w:name="_Toc9682"/>
      <w:bookmarkStart w:id="224" w:name="_Toc25827"/>
      <w:bookmarkStart w:id="225" w:name="_Toc25953"/>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\l _Toc21587 </w:instrText>
      </w:r>
      <w:r>
        <w:rPr>
          <w:rFonts w:hint="eastAsia" w:ascii="仿宋_GB2312" w:hAnsi="仿宋_GB2312" w:eastAsia="仿宋_GB2312" w:cs="仿宋_GB2312"/>
          <w:color w:val="auto"/>
          <w:sz w:val="32"/>
          <w:szCs w:val="32"/>
          <w:highlight w:val="none"/>
        </w:rPr>
        <w:fldChar w:fldCharType="separate"/>
      </w:r>
      <w:r>
        <w:rPr>
          <w:rStyle w:val="19"/>
          <w:rFonts w:hint="eastAsia"/>
          <w:color w:val="auto"/>
          <w:highlight w:val="none"/>
          <w:lang w:val="en-US" w:eastAsia="zh-CN"/>
        </w:rPr>
        <w:t xml:space="preserve">第一节 </w:t>
      </w:r>
      <w:r>
        <w:rPr>
          <w:rFonts w:hint="eastAsia" w:ascii="楷体_GB2312" w:hAnsi="楷体_GB2312" w:eastAsia="楷体_GB2312" w:cs="楷体_GB2312"/>
          <w:b/>
          <w:bCs/>
          <w:color w:val="auto"/>
          <w:sz w:val="32"/>
          <w:szCs w:val="32"/>
          <w:highlight w:val="none"/>
          <w:u w:val="none"/>
          <w:lang w:val="en-US" w:eastAsia="zh-CN"/>
        </w:rPr>
        <w:t>弘扬和践行社会主义核心价值观</w:t>
      </w:r>
      <w:bookmarkEnd w:id="221"/>
      <w:bookmarkEnd w:id="222"/>
      <w:bookmarkEnd w:id="223"/>
      <w:bookmarkEnd w:id="224"/>
      <w:bookmarkEnd w:id="225"/>
    </w:p>
    <w:p w14:paraId="31C63176">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深化党的创新理论武装。</w:t>
      </w:r>
      <w:r>
        <w:rPr>
          <w:rFonts w:hint="eastAsia" w:ascii="仿宋_GB2312" w:hAnsi="仿宋_GB2312" w:eastAsia="仿宋_GB2312" w:cs="Times New Roman"/>
          <w:b w:val="0"/>
          <w:bCs w:val="0"/>
          <w:color w:val="auto"/>
          <w:sz w:val="32"/>
          <w:szCs w:val="32"/>
          <w:highlight w:val="none"/>
          <w:lang w:val="en-US" w:eastAsia="zh-CN"/>
        </w:rPr>
        <w:t>坚持不懈用习近平新时代中国特色社会主义思想凝心铸魂，深入学习实践习近平文化思想。</w:t>
      </w:r>
      <w:r>
        <w:rPr>
          <w:rFonts w:hint="eastAsia" w:ascii="仿宋_GB2312" w:hAnsi="仿宋_GB2312" w:cs="Times New Roman"/>
          <w:b w:val="0"/>
          <w:bCs w:val="0"/>
          <w:color w:val="auto"/>
          <w:sz w:val="32"/>
          <w:szCs w:val="32"/>
          <w:highlight w:val="none"/>
          <w:lang w:val="en-US" w:eastAsia="zh-CN"/>
        </w:rPr>
        <w:t>推动</w:t>
      </w:r>
      <w:r>
        <w:rPr>
          <w:rFonts w:hint="eastAsia" w:ascii="仿宋_GB2312" w:hAnsi="仿宋_GB2312" w:eastAsia="仿宋_GB2312" w:cs="Times New Roman"/>
          <w:b w:val="0"/>
          <w:bCs w:val="0"/>
          <w:color w:val="auto"/>
          <w:sz w:val="32"/>
          <w:szCs w:val="32"/>
          <w:highlight w:val="none"/>
          <w:lang w:val="en-US" w:eastAsia="zh-CN"/>
        </w:rPr>
        <w:t>理论宣传普及工作，</w:t>
      </w:r>
      <w:r>
        <w:rPr>
          <w:rFonts w:hint="eastAsia" w:ascii="仿宋_GB2312" w:hAnsi="仿宋_GB2312" w:cs="Times New Roman"/>
          <w:b w:val="0"/>
          <w:bCs w:val="0"/>
          <w:color w:val="auto"/>
          <w:sz w:val="32"/>
          <w:szCs w:val="32"/>
          <w:highlight w:val="none"/>
          <w:lang w:val="en-US" w:eastAsia="zh-CN"/>
        </w:rPr>
        <w:t>落实</w:t>
      </w:r>
      <w:r>
        <w:rPr>
          <w:rFonts w:hint="eastAsia" w:ascii="仿宋_GB2312" w:hAnsi="仿宋_GB2312" w:eastAsia="仿宋_GB2312" w:cs="Times New Roman"/>
          <w:b w:val="0"/>
          <w:bCs w:val="0"/>
          <w:color w:val="auto"/>
          <w:sz w:val="32"/>
          <w:szCs w:val="32"/>
          <w:highlight w:val="none"/>
          <w:lang w:val="en-US" w:eastAsia="zh-CN"/>
        </w:rPr>
        <w:t>党的创新理论深入基层、深入人心，引导全县干部群众增强“四个意识”、坚定“四个自信”、做到“两个维护”，筑牢团结奋斗的共同思想基础。</w:t>
      </w:r>
    </w:p>
    <w:p w14:paraId="5939619E">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加强新时代爱国主义教育。</w:t>
      </w:r>
      <w:r>
        <w:rPr>
          <w:rFonts w:hint="eastAsia" w:ascii="仿宋_GB2312" w:hAnsi="仿宋_GB2312" w:eastAsia="仿宋_GB2312" w:cs="Times New Roman"/>
          <w:b w:val="0"/>
          <w:bCs w:val="0"/>
          <w:color w:val="auto"/>
          <w:sz w:val="32"/>
          <w:szCs w:val="32"/>
          <w:highlight w:val="none"/>
          <w:lang w:val="en-US" w:eastAsia="zh-CN"/>
        </w:rPr>
        <w:t>深入实施《新时代爱国主义教育实施纲要》。重点加强青少年理想信念教育，建好用好昆仑关战役旧址等本地红色资源，打造爱国主义教育和研学实践基地。将爱国主义教育融入国民教育和精神文明建设全过程，激发全县人民的爱国热情和奋斗精神。</w:t>
      </w:r>
    </w:p>
    <w:p w14:paraId="6A566B43">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推进新时代公民道德建设。</w:t>
      </w:r>
      <w:r>
        <w:rPr>
          <w:rFonts w:hint="eastAsia" w:ascii="仿宋_GB2312" w:hAnsi="仿宋_GB2312" w:eastAsia="仿宋_GB2312" w:cs="Times New Roman"/>
          <w:b w:val="0"/>
          <w:bCs w:val="0"/>
          <w:color w:val="auto"/>
          <w:sz w:val="32"/>
          <w:szCs w:val="32"/>
          <w:highlight w:val="none"/>
          <w:lang w:val="en-US" w:eastAsia="zh-CN"/>
        </w:rPr>
        <w:t>深入实施《新时代公民道德建设实施纲要》，弘扬诚信文化。推进社会公德、职业道德、家庭美德、个人品德建设，开展道德模范选树学习宣传活动。培育良好家风、淳朴民风，推动形成适应新时代要求的思想观念、精神面貌、文明风尚、行为规范。</w:t>
      </w:r>
    </w:p>
    <w:p w14:paraId="1DC05F90">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推动城乡精神文明建设融合。</w:t>
      </w:r>
      <w:r>
        <w:rPr>
          <w:rFonts w:hint="eastAsia" w:ascii="仿宋_GB2312" w:hAnsi="仿宋_GB2312" w:eastAsia="仿宋_GB2312" w:cs="Times New Roman"/>
          <w:b w:val="0"/>
          <w:bCs w:val="0"/>
          <w:color w:val="auto"/>
          <w:sz w:val="32"/>
          <w:szCs w:val="32"/>
          <w:highlight w:val="none"/>
          <w:lang w:val="en-US" w:eastAsia="zh-CN"/>
        </w:rPr>
        <w:t>持续巩固自治区文明城市创建成果，推动文明创建向镇村延伸。扎实推进镇级新时代文明实践所提质增效，广泛开展志愿服务和文明实践活动。提升人民文明素养和社会文明程度，共建共享中华民族共有精神家园。</w:t>
      </w:r>
    </w:p>
    <w:p w14:paraId="03800AFF">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加强意识形态阵地建设管理。</w:t>
      </w:r>
      <w:r>
        <w:rPr>
          <w:rFonts w:hint="eastAsia" w:ascii="仿宋_GB2312" w:hAnsi="仿宋_GB2312" w:eastAsia="仿宋_GB2312" w:cs="Times New Roman"/>
          <w:b w:val="0"/>
          <w:bCs w:val="0"/>
          <w:color w:val="auto"/>
          <w:sz w:val="32"/>
          <w:szCs w:val="32"/>
          <w:highlight w:val="none"/>
          <w:lang w:val="en-US" w:eastAsia="zh-CN"/>
        </w:rPr>
        <w:t>落实意识形态工作责任制，加强和改进思想政治工作。强化校园文化建设，守牢学校思想阵地。加强网络内容建设管理，营造清朗网络空间，提升信息化条件下文化领域治理能力，维护意识形态安全</w:t>
      </w:r>
      <w:r>
        <w:rPr>
          <w:rFonts w:hint="eastAsia" w:ascii="仿宋_GB2312" w:hAnsi="仿宋_GB2312" w:cs="Times New Roman"/>
          <w:b w:val="0"/>
          <w:bCs w:val="0"/>
          <w:color w:val="auto"/>
          <w:sz w:val="32"/>
          <w:szCs w:val="32"/>
          <w:highlight w:val="none"/>
          <w:lang w:val="en-US" w:eastAsia="zh-CN"/>
        </w:rPr>
        <w:t>。</w:t>
      </w:r>
    </w:p>
    <w:p w14:paraId="0DF17895">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ascii="仿宋_GB2312" w:hAnsi="仿宋_GB2312" w:cs="仿宋_GB2312"/>
          <w:b/>
          <w:bCs/>
          <w:color w:val="auto"/>
          <w:sz w:val="32"/>
          <w:szCs w:val="32"/>
          <w:highlight w:val="none"/>
          <w:lang w:val="en-US" w:eastAsia="zh-CN"/>
        </w:rPr>
      </w:pPr>
      <w:bookmarkStart w:id="226" w:name="_Toc8054"/>
      <w:bookmarkStart w:id="227" w:name="_Toc14594"/>
      <w:bookmarkStart w:id="228" w:name="_Toc19890"/>
      <w:bookmarkStart w:id="229" w:name="_Toc12033"/>
      <w:bookmarkStart w:id="230" w:name="_Toc10857"/>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b/>
          <w:bCs/>
          <w:color w:val="auto"/>
          <w:sz w:val="32"/>
          <w:szCs w:val="32"/>
          <w:highlight w:val="none"/>
        </w:rPr>
        <w:fldChar w:fldCharType="begin"/>
      </w:r>
      <w:r>
        <w:rPr>
          <w:rFonts w:hint="eastAsia" w:ascii="仿宋_GB2312" w:hAnsi="仿宋_GB2312" w:eastAsia="仿宋_GB2312" w:cs="仿宋_GB2312"/>
          <w:b/>
          <w:bCs/>
          <w:color w:val="auto"/>
          <w:sz w:val="32"/>
          <w:szCs w:val="32"/>
          <w:highlight w:val="none"/>
        </w:rPr>
        <w:instrText xml:space="preserve"> HYPERLINK \l _Toc1691 </w:instrText>
      </w:r>
      <w:r>
        <w:rPr>
          <w:rFonts w:hint="eastAsia" w:ascii="仿宋_GB2312" w:hAnsi="仿宋_GB2312" w:eastAsia="仿宋_GB2312" w:cs="仿宋_GB2312"/>
          <w:b/>
          <w:bCs/>
          <w:color w:val="auto"/>
          <w:sz w:val="32"/>
          <w:szCs w:val="32"/>
          <w:highlight w:val="none"/>
        </w:rPr>
        <w:fldChar w:fldCharType="separate"/>
      </w:r>
      <w:r>
        <w:rPr>
          <w:rFonts w:hint="eastAsia" w:ascii="仿宋_GB2312" w:hAnsi="仿宋_GB2312" w:eastAsia="仿宋_GB2312" w:cs="仿宋_GB2312"/>
          <w:b/>
          <w:bCs/>
          <w:color w:val="auto"/>
          <w:sz w:val="32"/>
          <w:szCs w:val="32"/>
          <w:highlight w:val="none"/>
          <w:lang w:val="en-US" w:eastAsia="zh-CN"/>
        </w:rPr>
        <w:t xml:space="preserve">第二节 </w:t>
      </w:r>
      <w:r>
        <w:rPr>
          <w:rFonts w:hint="eastAsia" w:ascii="仿宋_GB2312" w:hAnsi="仿宋_GB2312" w:eastAsia="仿宋_GB2312" w:cs="仿宋_GB2312"/>
          <w:b/>
          <w:bCs/>
          <w:color w:val="auto"/>
          <w:sz w:val="32"/>
          <w:szCs w:val="32"/>
          <w:highlight w:val="none"/>
        </w:rPr>
        <w:fldChar w:fldCharType="end"/>
      </w:r>
      <w:r>
        <w:rPr>
          <w:rFonts w:hint="eastAsia" w:ascii="楷体_GB2312" w:hAnsi="楷体_GB2312" w:eastAsia="楷体_GB2312" w:cs="楷体_GB2312"/>
          <w:b/>
          <w:bCs/>
          <w:color w:val="auto"/>
          <w:sz w:val="32"/>
          <w:szCs w:val="32"/>
          <w:highlight w:val="none"/>
          <w:u w:val="none"/>
          <w:lang w:val="en-US" w:eastAsia="zh-CN"/>
        </w:rPr>
        <w:t>大力繁荣文化事业</w:t>
      </w:r>
      <w:bookmarkEnd w:id="226"/>
      <w:bookmarkEnd w:id="227"/>
      <w:bookmarkEnd w:id="228"/>
      <w:bookmarkEnd w:id="229"/>
      <w:bookmarkEnd w:id="230"/>
    </w:p>
    <w:p w14:paraId="4724874F">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实施文艺精品创作工程。</w:t>
      </w:r>
      <w:r>
        <w:rPr>
          <w:rFonts w:hint="eastAsia" w:ascii="仿宋_GB2312" w:hAnsi="仿宋_GB2312" w:eastAsia="仿宋_GB2312" w:cs="Times New Roman"/>
          <w:b w:val="0"/>
          <w:bCs w:val="0"/>
          <w:color w:val="auto"/>
          <w:sz w:val="32"/>
          <w:szCs w:val="32"/>
          <w:highlight w:val="none"/>
          <w:lang w:val="en-US" w:eastAsia="zh-CN"/>
        </w:rPr>
        <w:t>深化“新时代、新广西、新人物、新故事”主题创作在宾阳县的实践，鼓励围绕“中国炮龙之乡”、乡村振兴等本土题材，推出一批具有地方特色和时代精神的优秀文艺作品。建立重点文艺项目扶持机制，支持文学、戏剧、美术、音乐、舞蹈等各艺术门类创作，讲好宾阳故事，传播宾阳声音。</w:t>
      </w:r>
    </w:p>
    <w:p w14:paraId="4CC3DF8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加强文化人才队伍建设。</w:t>
      </w:r>
      <w:r>
        <w:rPr>
          <w:rFonts w:hint="eastAsia" w:ascii="仿宋_GB2312" w:hAnsi="仿宋_GB2312" w:eastAsia="仿宋_GB2312" w:cs="Times New Roman"/>
          <w:b w:val="0"/>
          <w:bCs w:val="0"/>
          <w:color w:val="auto"/>
          <w:sz w:val="32"/>
          <w:szCs w:val="32"/>
          <w:highlight w:val="none"/>
          <w:lang w:val="en-US" w:eastAsia="zh-CN"/>
        </w:rPr>
        <w:t>培育壮大本土优秀文化人才队伍，建立文化名家、非遗传承人、青年文艺骨干等人才库。完善人才培养、引进、激励和保障机制，通过与专业院校合作、举办研修班、大师带徒等方式，提升人才专业素养和创新能力，为文化繁荣提供坚实人才支撑。</w:t>
      </w:r>
    </w:p>
    <w:p w14:paraId="7690816A">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打造特色文化品牌活动。</w:t>
      </w:r>
      <w:r>
        <w:rPr>
          <w:rFonts w:hint="eastAsia" w:ascii="仿宋_GB2312" w:hAnsi="仿宋_GB2312" w:eastAsia="仿宋_GB2312" w:cs="Times New Roman"/>
          <w:b w:val="0"/>
          <w:bCs w:val="0"/>
          <w:color w:val="auto"/>
          <w:sz w:val="32"/>
          <w:szCs w:val="32"/>
          <w:highlight w:val="none"/>
          <w:lang w:val="en-US" w:eastAsia="zh-CN"/>
        </w:rPr>
        <w:t>广泛开展群众性文化活动，持续高水平办好宾阳炮龙节、岭梅文化旅游节等特色品牌节庆。创新活动形式与内容，促进文旅深度融合，提升品牌影响力与辐射力，使其成为展示宾阳文化魅力、促进经济社会发展的重要平台。</w:t>
      </w:r>
    </w:p>
    <w:p w14:paraId="1011F2F1">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提升媒体融合传播效能。</w:t>
      </w:r>
      <w:r>
        <w:rPr>
          <w:rFonts w:hint="eastAsia" w:ascii="仿宋_GB2312" w:hAnsi="仿宋_GB2312" w:eastAsia="仿宋_GB2312" w:cs="Times New Roman"/>
          <w:b w:val="0"/>
          <w:bCs w:val="0"/>
          <w:color w:val="auto"/>
          <w:sz w:val="32"/>
          <w:szCs w:val="32"/>
          <w:highlight w:val="none"/>
          <w:lang w:val="en-US" w:eastAsia="zh-CN"/>
        </w:rPr>
        <w:t>推进县级融媒体中心提质增效，深化内容生产、传播渠道和体制机制改革。建强用好新媒体平台，提高新闻舆论传播力、引导力、影响力、公信力，巩固壮大主流思想舆论，更好地引导群众、服务群众。</w:t>
      </w:r>
    </w:p>
    <w:p w14:paraId="747C52C0">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加大文化遗产保护力度。</w:t>
      </w:r>
      <w:r>
        <w:rPr>
          <w:rFonts w:hint="eastAsia" w:ascii="仿宋_GB2312" w:hAnsi="仿宋_GB2312" w:eastAsia="仿宋_GB2312" w:cs="Times New Roman"/>
          <w:b w:val="0"/>
          <w:bCs w:val="0"/>
          <w:color w:val="auto"/>
          <w:sz w:val="32"/>
          <w:szCs w:val="32"/>
          <w:highlight w:val="none"/>
          <w:lang w:val="en-US" w:eastAsia="zh-CN"/>
        </w:rPr>
        <w:t>加强文化遗产系统性保护，重点推进国家级非物质文化遗产“宾阳炮龙节”的活态传承与创新利用。加大对宾阳丝弦戏等地方特色剧种的保护与扶持力度。深入挖掘和展示稻作（古辣香米）、民俗节庆等地方特色文化，将本土文化保护与展示融入南宁市创建国家历史文化名城工作。</w:t>
      </w:r>
    </w:p>
    <w:p w14:paraId="5BFD864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挖掘特色历史文化内涵。</w:t>
      </w:r>
      <w:r>
        <w:rPr>
          <w:rFonts w:hint="eastAsia" w:ascii="仿宋_GB2312" w:hAnsi="仿宋_GB2312" w:eastAsia="仿宋_GB2312" w:cs="Times New Roman"/>
          <w:b w:val="0"/>
          <w:bCs w:val="0"/>
          <w:color w:val="auto"/>
          <w:sz w:val="32"/>
          <w:szCs w:val="32"/>
          <w:highlight w:val="none"/>
          <w:lang w:val="en-US" w:eastAsia="zh-CN"/>
        </w:rPr>
        <w:t>深入挖掘宾州古城承载的古城文化、黎塘铁路枢纽承载的铁路文化、昆仑关战役遗址承载的军事文化内涵。加强历史遗迹、文物资源的调查、研究、阐释与展示利用，推动历史文化资源创造性转化和创新性发展，彰显宾阳历史底蕴。</w:t>
      </w:r>
    </w:p>
    <w:p w14:paraId="4BDB748E">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完善公共文化服务体系。</w:t>
      </w:r>
      <w:r>
        <w:rPr>
          <w:rFonts w:hint="eastAsia" w:ascii="仿宋_GB2312" w:hAnsi="仿宋_GB2312" w:eastAsia="仿宋_GB2312" w:cs="Times New Roman"/>
          <w:b w:val="0"/>
          <w:bCs w:val="0"/>
          <w:color w:val="auto"/>
          <w:sz w:val="32"/>
          <w:szCs w:val="32"/>
          <w:highlight w:val="none"/>
          <w:lang w:val="en-US" w:eastAsia="zh-CN"/>
        </w:rPr>
        <w:t>坚持文化惠民，结合城市更新完善县级文化馆、图书馆和镇级新时代文明实践所等设施网络。实施公共文化服务提质增效行动，推进公共文化服务数字化、智慧化转型，提高服务的均衡性、可及性和实效性，不断满足人民群众精神文化需求。</w:t>
      </w:r>
    </w:p>
    <w:p w14:paraId="3C477D4A">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促进体育事业全面发展。</w:t>
      </w:r>
      <w:r>
        <w:rPr>
          <w:rFonts w:hint="eastAsia" w:ascii="仿宋_GB2312" w:hAnsi="仿宋_GB2312" w:eastAsia="仿宋_GB2312" w:cs="Times New Roman"/>
          <w:b w:val="0"/>
          <w:bCs w:val="0"/>
          <w:color w:val="auto"/>
          <w:sz w:val="32"/>
          <w:szCs w:val="32"/>
          <w:highlight w:val="none"/>
          <w:lang w:val="en-US" w:eastAsia="zh-CN"/>
        </w:rPr>
        <w:t>统筹推进群众体育和竞技体育全面发展。完善城乡体育设施，广泛开展全民健身活动。加强青少年体育工作，培育体育后备人才，提升竞技体育水平，促进群众体育与竞技体育协调发展，增强人民体质。</w:t>
      </w:r>
    </w:p>
    <w:p w14:paraId="5AFE43FF">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default"/>
          <w:color w:val="auto"/>
          <w:highlight w:val="none"/>
          <w:lang w:val="en-US" w:eastAsia="zh-CN"/>
        </w:rPr>
      </w:pPr>
      <w:bookmarkStart w:id="231" w:name="_Toc1307"/>
      <w:bookmarkStart w:id="232" w:name="_Toc1284"/>
      <w:bookmarkStart w:id="233" w:name="_Toc27098"/>
      <w:bookmarkStart w:id="234" w:name="_Toc16860"/>
      <w:bookmarkStart w:id="235" w:name="_Toc9559"/>
      <w:r>
        <w:rPr>
          <w:rFonts w:hint="eastAsia"/>
          <w:color w:val="auto"/>
          <w:highlight w:val="none"/>
        </w:rPr>
        <w:fldChar w:fldCharType="begin"/>
      </w:r>
      <w:r>
        <w:rPr>
          <w:rFonts w:hint="eastAsia"/>
          <w:color w:val="auto"/>
          <w:highlight w:val="none"/>
        </w:rPr>
        <w:instrText xml:space="preserve"> HYPERLINK \l _Toc11830 </w:instrText>
      </w:r>
      <w:r>
        <w:rPr>
          <w:rFonts w:hint="eastAsia"/>
          <w:color w:val="auto"/>
          <w:highlight w:val="none"/>
        </w:rPr>
        <w:fldChar w:fldCharType="separate"/>
      </w:r>
      <w:r>
        <w:rPr>
          <w:rFonts w:hint="eastAsia"/>
          <w:color w:val="auto"/>
          <w:highlight w:val="none"/>
          <w:lang w:val="en-US" w:eastAsia="zh-CN"/>
        </w:rPr>
        <w:t xml:space="preserve">第三节 </w:t>
      </w:r>
      <w:r>
        <w:rPr>
          <w:rFonts w:hint="eastAsia"/>
          <w:color w:val="auto"/>
          <w:highlight w:val="none"/>
        </w:rPr>
        <w:fldChar w:fldCharType="end"/>
      </w:r>
      <w:r>
        <w:rPr>
          <w:rFonts w:hint="eastAsia" w:ascii="楷体_GB2312" w:hAnsi="楷体_GB2312" w:eastAsia="楷体_GB2312" w:cs="楷体_GB2312"/>
          <w:b/>
          <w:bCs/>
          <w:color w:val="auto"/>
          <w:sz w:val="32"/>
          <w:szCs w:val="32"/>
          <w:highlight w:val="none"/>
          <w:u w:val="none"/>
          <w:lang w:val="en-US" w:eastAsia="zh-CN"/>
        </w:rPr>
        <w:t>加快发展文化产业</w:t>
      </w:r>
      <w:bookmarkEnd w:id="231"/>
      <w:bookmarkEnd w:id="232"/>
      <w:bookmarkEnd w:id="233"/>
      <w:bookmarkEnd w:id="234"/>
      <w:bookmarkEnd w:id="235"/>
    </w:p>
    <w:p w14:paraId="74D591CB">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打造</w:t>
      </w:r>
      <w:r>
        <w:rPr>
          <w:rFonts w:hint="eastAsia" w:ascii="仿宋_GB2312" w:hAnsi="仿宋_GB2312" w:cs="Times New Roman"/>
          <w:b/>
          <w:bCs/>
          <w:color w:val="auto"/>
          <w:sz w:val="32"/>
          <w:szCs w:val="32"/>
          <w:highlight w:val="none"/>
          <w:lang w:val="en-US" w:eastAsia="zh-CN"/>
        </w:rPr>
        <w:t>非遗</w:t>
      </w:r>
      <w:r>
        <w:rPr>
          <w:rFonts w:hint="eastAsia" w:ascii="仿宋_GB2312" w:hAnsi="仿宋_GB2312" w:eastAsia="仿宋_GB2312" w:cs="Times New Roman"/>
          <w:b/>
          <w:bCs/>
          <w:color w:val="auto"/>
          <w:sz w:val="32"/>
          <w:szCs w:val="32"/>
          <w:highlight w:val="none"/>
          <w:lang w:val="en-US" w:eastAsia="zh-CN"/>
        </w:rPr>
        <w:t>特色产业集群。</w:t>
      </w:r>
      <w:r>
        <w:rPr>
          <w:rFonts w:hint="eastAsia" w:ascii="仿宋_GB2312" w:hAnsi="仿宋_GB2312" w:eastAsia="仿宋_GB2312" w:cs="Times New Roman"/>
          <w:b w:val="0"/>
          <w:bCs w:val="0"/>
          <w:color w:val="auto"/>
          <w:sz w:val="32"/>
          <w:szCs w:val="32"/>
          <w:highlight w:val="none"/>
          <w:lang w:val="en-US" w:eastAsia="zh-CN"/>
        </w:rPr>
        <w:t>聚焦“中国炮龙之乡”核心品牌，依托宾州古城、</w:t>
      </w:r>
      <w:r>
        <w:rPr>
          <w:rFonts w:hint="eastAsia" w:ascii="仿宋_GB2312" w:hAnsi="仿宋_GB2312" w:cs="Times New Roman"/>
          <w:b w:val="0"/>
          <w:bCs w:val="0"/>
          <w:color w:val="auto"/>
          <w:sz w:val="32"/>
          <w:szCs w:val="32"/>
          <w:highlight w:val="none"/>
          <w:lang w:val="en-US" w:eastAsia="zh-CN"/>
        </w:rPr>
        <w:t>“稻花香里”旅游景区</w:t>
      </w:r>
      <w:r>
        <w:rPr>
          <w:rFonts w:hint="eastAsia" w:ascii="仿宋_GB2312" w:hAnsi="仿宋_GB2312" w:eastAsia="仿宋_GB2312" w:cs="Times New Roman"/>
          <w:b w:val="0"/>
          <w:bCs w:val="0"/>
          <w:color w:val="auto"/>
          <w:sz w:val="32"/>
          <w:szCs w:val="32"/>
          <w:highlight w:val="none"/>
          <w:lang w:val="en-US" w:eastAsia="zh-CN"/>
        </w:rPr>
        <w:t>等载体，规划建设集非遗传承、文创设计、展演体验于一体的综合型文化产业基地。系统整合炮龙、红陶、壮锦、竹编等核心非遗资源，孵化“宾阳有礼”系列特色文创产品。重点扶持丝弦戏、师公戏等</w:t>
      </w:r>
      <w:r>
        <w:rPr>
          <w:rFonts w:hint="eastAsia" w:ascii="仿宋_GB2312" w:hAnsi="仿宋_GB2312" w:cs="Times New Roman"/>
          <w:b w:val="0"/>
          <w:bCs w:val="0"/>
          <w:color w:val="auto"/>
          <w:sz w:val="32"/>
          <w:szCs w:val="32"/>
          <w:highlight w:val="none"/>
          <w:lang w:val="en-US" w:eastAsia="zh-CN"/>
        </w:rPr>
        <w:t>宾阳</w:t>
      </w:r>
      <w:r>
        <w:rPr>
          <w:rFonts w:hint="eastAsia" w:ascii="仿宋_GB2312" w:hAnsi="仿宋_GB2312" w:eastAsia="仿宋_GB2312" w:cs="Times New Roman"/>
          <w:b w:val="0"/>
          <w:bCs w:val="0"/>
          <w:color w:val="auto"/>
          <w:sz w:val="32"/>
          <w:szCs w:val="32"/>
          <w:highlight w:val="none"/>
          <w:lang w:val="en-US" w:eastAsia="zh-CN"/>
        </w:rPr>
        <w:t>特色演艺品牌的市场化运营，推动传统戏剧常态化展演。</w:t>
      </w:r>
    </w:p>
    <w:p w14:paraId="521049D8">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推动文创设计与制造业融合。</w:t>
      </w:r>
      <w:r>
        <w:rPr>
          <w:rFonts w:hint="eastAsia" w:ascii="仿宋_GB2312" w:hAnsi="仿宋_GB2312" w:eastAsia="仿宋_GB2312" w:cs="Times New Roman"/>
          <w:b w:val="0"/>
          <w:bCs w:val="0"/>
          <w:color w:val="auto"/>
          <w:sz w:val="32"/>
          <w:szCs w:val="32"/>
          <w:highlight w:val="none"/>
          <w:lang w:val="en-US" w:eastAsia="zh-CN"/>
        </w:rPr>
        <w:t>实施“设计+制造”计划，引导小五金、编织等传统制造企业与文创设计机构深度合作。鼓励开发融合</w:t>
      </w:r>
      <w:r>
        <w:rPr>
          <w:rFonts w:hint="eastAsia" w:ascii="仿宋_GB2312" w:hAnsi="仿宋_GB2312" w:cs="Times New Roman"/>
          <w:b w:val="0"/>
          <w:bCs w:val="0"/>
          <w:color w:val="auto"/>
          <w:sz w:val="32"/>
          <w:szCs w:val="32"/>
          <w:highlight w:val="none"/>
          <w:lang w:val="en-US" w:eastAsia="zh-CN"/>
        </w:rPr>
        <w:t>宾阳</w:t>
      </w:r>
      <w:r>
        <w:rPr>
          <w:rFonts w:hint="eastAsia" w:ascii="仿宋_GB2312" w:hAnsi="仿宋_GB2312" w:eastAsia="仿宋_GB2312" w:cs="Times New Roman"/>
          <w:b w:val="0"/>
          <w:bCs w:val="0"/>
          <w:color w:val="auto"/>
          <w:sz w:val="32"/>
          <w:szCs w:val="32"/>
          <w:highlight w:val="none"/>
          <w:lang w:val="en-US" w:eastAsia="zh-CN"/>
        </w:rPr>
        <w:t>炮龙、</w:t>
      </w:r>
      <w:r>
        <w:rPr>
          <w:rFonts w:hint="eastAsia" w:ascii="仿宋_GB2312" w:hAnsi="仿宋_GB2312" w:cs="Times New Roman"/>
          <w:b w:val="0"/>
          <w:bCs w:val="0"/>
          <w:color w:val="auto"/>
          <w:sz w:val="32"/>
          <w:szCs w:val="32"/>
          <w:highlight w:val="none"/>
          <w:lang w:val="en-US" w:eastAsia="zh-CN"/>
        </w:rPr>
        <w:t>宾阳</w:t>
      </w:r>
      <w:r>
        <w:rPr>
          <w:rFonts w:hint="eastAsia" w:ascii="仿宋_GB2312" w:hAnsi="仿宋_GB2312" w:eastAsia="仿宋_GB2312" w:cs="Times New Roman"/>
          <w:b w:val="0"/>
          <w:bCs w:val="0"/>
          <w:color w:val="auto"/>
          <w:sz w:val="32"/>
          <w:szCs w:val="32"/>
          <w:highlight w:val="none"/>
          <w:lang w:val="en-US" w:eastAsia="zh-CN"/>
        </w:rPr>
        <w:t>壮锦等文化元素的工艺礼品、家居装饰及伴手礼。支持企业应用人工智能、数字技术优化产品设计与生产工艺，提升产品文化附加值。</w:t>
      </w:r>
    </w:p>
    <w:p w14:paraId="74164FF3">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培育数字文化新业态。</w:t>
      </w:r>
      <w:r>
        <w:rPr>
          <w:rFonts w:hint="eastAsia" w:ascii="仿宋_GB2312" w:hAnsi="仿宋_GB2312" w:eastAsia="仿宋_GB2312" w:cs="Times New Roman"/>
          <w:b w:val="0"/>
          <w:bCs w:val="0"/>
          <w:color w:val="auto"/>
          <w:sz w:val="32"/>
          <w:szCs w:val="32"/>
          <w:highlight w:val="none"/>
          <w:lang w:val="en-US" w:eastAsia="zh-CN"/>
        </w:rPr>
        <w:t>规范引导网络游戏、网络文学、网络视听、数字文创等新业态健康发展。鼓励以</w:t>
      </w:r>
      <w:r>
        <w:rPr>
          <w:rFonts w:hint="eastAsia" w:ascii="仿宋_GB2312" w:hAnsi="仿宋_GB2312" w:cs="Times New Roman"/>
          <w:b w:val="0"/>
          <w:bCs w:val="0"/>
          <w:color w:val="auto"/>
          <w:sz w:val="32"/>
          <w:szCs w:val="32"/>
          <w:highlight w:val="none"/>
          <w:lang w:val="en-US" w:eastAsia="zh-CN"/>
        </w:rPr>
        <w:t>宾阳</w:t>
      </w:r>
      <w:r>
        <w:rPr>
          <w:rFonts w:hint="eastAsia" w:ascii="仿宋_GB2312" w:hAnsi="仿宋_GB2312" w:eastAsia="仿宋_GB2312" w:cs="Times New Roman"/>
          <w:b w:val="0"/>
          <w:bCs w:val="0"/>
          <w:color w:val="auto"/>
          <w:sz w:val="32"/>
          <w:szCs w:val="32"/>
          <w:highlight w:val="none"/>
          <w:lang w:val="en-US" w:eastAsia="zh-CN"/>
        </w:rPr>
        <w:t>炮龙、</w:t>
      </w:r>
      <w:r>
        <w:rPr>
          <w:rFonts w:hint="eastAsia" w:ascii="仿宋_GB2312" w:hAnsi="仿宋_GB2312" w:cs="Times New Roman"/>
          <w:b w:val="0"/>
          <w:bCs w:val="0"/>
          <w:color w:val="auto"/>
          <w:sz w:val="32"/>
          <w:szCs w:val="32"/>
          <w:highlight w:val="none"/>
          <w:lang w:val="en-US" w:eastAsia="zh-CN"/>
        </w:rPr>
        <w:t>宾阳</w:t>
      </w:r>
      <w:r>
        <w:rPr>
          <w:rFonts w:hint="eastAsia" w:ascii="仿宋_GB2312" w:hAnsi="仿宋_GB2312" w:eastAsia="仿宋_GB2312" w:cs="Times New Roman"/>
          <w:b w:val="0"/>
          <w:bCs w:val="0"/>
          <w:color w:val="auto"/>
          <w:sz w:val="32"/>
          <w:szCs w:val="32"/>
          <w:highlight w:val="none"/>
          <w:lang w:val="en-US" w:eastAsia="zh-CN"/>
        </w:rPr>
        <w:t>壮锦等IP为核心，创作开发数字藏品、短视频、动漫等数字内容产品，打造线上传播矩阵。严格落实未成年人网络保护要求。</w:t>
      </w:r>
    </w:p>
    <w:p w14:paraId="319E28C8">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发展赛事经济与体育产业。</w:t>
      </w:r>
      <w:r>
        <w:rPr>
          <w:rFonts w:hint="eastAsia" w:ascii="仿宋_GB2312" w:hAnsi="仿宋_GB2312" w:eastAsia="仿宋_GB2312" w:cs="Times New Roman"/>
          <w:b w:val="0"/>
          <w:bCs w:val="0"/>
          <w:color w:val="auto"/>
          <w:sz w:val="32"/>
          <w:szCs w:val="32"/>
          <w:highlight w:val="none"/>
          <w:lang w:val="en-US" w:eastAsia="zh-CN"/>
        </w:rPr>
        <w:t>大力发展赛事经济，持续办好宾阳承办的高水平机器人大赛、篮球联赛等赛事，</w:t>
      </w:r>
      <w:r>
        <w:rPr>
          <w:rFonts w:hint="eastAsia" w:ascii="仿宋_GB2312" w:hAnsi="仿宋_GB2312" w:cs="Times New Roman"/>
          <w:b w:val="0"/>
          <w:bCs w:val="0"/>
          <w:color w:val="auto"/>
          <w:sz w:val="32"/>
          <w:szCs w:val="32"/>
          <w:highlight w:val="none"/>
          <w:lang w:val="en-US" w:eastAsia="zh-CN"/>
        </w:rPr>
        <w:t>积极</w:t>
      </w:r>
      <w:r>
        <w:rPr>
          <w:rFonts w:hint="eastAsia" w:ascii="仿宋_GB2312" w:hAnsi="仿宋_GB2312" w:eastAsia="仿宋_GB2312" w:cs="Times New Roman"/>
          <w:b w:val="0"/>
          <w:bCs w:val="0"/>
          <w:color w:val="auto"/>
          <w:sz w:val="32"/>
          <w:szCs w:val="32"/>
          <w:highlight w:val="none"/>
          <w:lang w:val="en-US" w:eastAsia="zh-CN"/>
        </w:rPr>
        <w:t>培育具有</w:t>
      </w:r>
      <w:r>
        <w:rPr>
          <w:rFonts w:hint="eastAsia" w:ascii="仿宋_GB2312" w:hAnsi="仿宋_GB2312" w:cs="Times New Roman"/>
          <w:b w:val="0"/>
          <w:bCs w:val="0"/>
          <w:color w:val="auto"/>
          <w:sz w:val="32"/>
          <w:szCs w:val="32"/>
          <w:highlight w:val="none"/>
          <w:lang w:val="en-US" w:eastAsia="zh-CN"/>
        </w:rPr>
        <w:t>区域</w:t>
      </w:r>
      <w:r>
        <w:rPr>
          <w:rFonts w:hint="eastAsia" w:ascii="仿宋_GB2312" w:hAnsi="仿宋_GB2312" w:eastAsia="仿宋_GB2312" w:cs="Times New Roman"/>
          <w:b w:val="0"/>
          <w:bCs w:val="0"/>
          <w:color w:val="auto"/>
          <w:sz w:val="32"/>
          <w:szCs w:val="32"/>
          <w:highlight w:val="none"/>
          <w:lang w:val="en-US" w:eastAsia="zh-CN"/>
        </w:rPr>
        <w:t>影响力的本土体育文化IP。推动“赛事+旅游+文化”融合发展，开发观赛旅游线路和周边文创，激活体育消费。</w:t>
      </w:r>
    </w:p>
    <w:p w14:paraId="4E8FA83B">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完善</w:t>
      </w:r>
      <w:r>
        <w:rPr>
          <w:rFonts w:hint="eastAsia" w:ascii="仿宋_GB2312" w:hAnsi="仿宋_GB2312" w:cs="Times New Roman"/>
          <w:b/>
          <w:bCs/>
          <w:color w:val="auto"/>
          <w:sz w:val="32"/>
          <w:szCs w:val="32"/>
          <w:highlight w:val="none"/>
          <w:lang w:val="en-US" w:eastAsia="zh-CN"/>
        </w:rPr>
        <w:t>文化产业现代化发展</w:t>
      </w:r>
      <w:r>
        <w:rPr>
          <w:rFonts w:hint="eastAsia" w:ascii="仿宋_GB2312" w:hAnsi="仿宋_GB2312" w:eastAsia="仿宋_GB2312" w:cs="Times New Roman"/>
          <w:b/>
          <w:bCs/>
          <w:color w:val="auto"/>
          <w:sz w:val="32"/>
          <w:szCs w:val="32"/>
          <w:highlight w:val="none"/>
          <w:lang w:val="en-US" w:eastAsia="zh-CN"/>
        </w:rPr>
        <w:t>支持体系。</w:t>
      </w:r>
      <w:r>
        <w:rPr>
          <w:rFonts w:hint="eastAsia" w:ascii="仿宋_GB2312" w:hAnsi="仿宋_GB2312" w:eastAsia="仿宋_GB2312" w:cs="Times New Roman"/>
          <w:b w:val="0"/>
          <w:bCs w:val="0"/>
          <w:color w:val="auto"/>
          <w:sz w:val="32"/>
          <w:szCs w:val="32"/>
          <w:highlight w:val="none"/>
          <w:lang w:val="en-US" w:eastAsia="zh-CN"/>
        </w:rPr>
        <w:t>健全文化产业项目招商与要素保障机制，在用地、融资、人才等方面给予倾斜。完善文化产品“走出去”支持措施，引导和培育一批具有地方文化特色的中小微企业，鼓励其利用跨境电商平台、参加国内外专业展会等方式，拓展国内外市场。建立文化产业人才培养与激励机制，定期举办非遗传承、文创设计、市场营销等专业培训，为产业可持续发展提供人才支撑。</w:t>
      </w:r>
    </w:p>
    <w:p w14:paraId="2FD0D49D">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default"/>
          <w:color w:val="auto"/>
          <w:highlight w:val="none"/>
          <w:lang w:val="en-US" w:eastAsia="zh-CN"/>
        </w:rPr>
      </w:pPr>
      <w:bookmarkStart w:id="236" w:name="_Toc13741"/>
      <w:bookmarkStart w:id="237" w:name="_Toc26289"/>
      <w:bookmarkStart w:id="238" w:name="_Toc31036"/>
      <w:bookmarkStart w:id="239" w:name="_Toc18772"/>
      <w:r>
        <w:rPr>
          <w:rFonts w:hint="eastAsia"/>
          <w:color w:val="auto"/>
          <w:highlight w:val="none"/>
        </w:rPr>
        <w:fldChar w:fldCharType="begin"/>
      </w:r>
      <w:r>
        <w:rPr>
          <w:rFonts w:hint="eastAsia"/>
          <w:color w:val="auto"/>
          <w:highlight w:val="none"/>
        </w:rPr>
        <w:instrText xml:space="preserve"> HYPERLINK \l _Toc11830 </w:instrText>
      </w:r>
      <w:r>
        <w:rPr>
          <w:rFonts w:hint="eastAsia"/>
          <w:color w:val="auto"/>
          <w:highlight w:val="none"/>
        </w:rPr>
        <w:fldChar w:fldCharType="separate"/>
      </w:r>
      <w:r>
        <w:rPr>
          <w:rFonts w:hint="eastAsia"/>
          <w:color w:val="auto"/>
          <w:highlight w:val="none"/>
          <w:lang w:val="en-US" w:eastAsia="zh-CN"/>
        </w:rPr>
        <w:t xml:space="preserve">第四节 </w:t>
      </w:r>
      <w:r>
        <w:rPr>
          <w:rFonts w:hint="eastAsia"/>
          <w:color w:val="auto"/>
          <w:highlight w:val="none"/>
        </w:rPr>
        <w:fldChar w:fldCharType="end"/>
      </w:r>
      <w:r>
        <w:rPr>
          <w:rFonts w:hint="eastAsia" w:ascii="楷体_GB2312" w:hAnsi="楷体_GB2312" w:eastAsia="楷体_GB2312" w:cs="楷体_GB2312"/>
          <w:b/>
          <w:bCs/>
          <w:color w:val="auto"/>
          <w:sz w:val="32"/>
          <w:szCs w:val="32"/>
          <w:highlight w:val="none"/>
        </w:rPr>
        <w:t>推进文旅深度融合发展</w:t>
      </w:r>
      <w:bookmarkEnd w:id="236"/>
      <w:bookmarkEnd w:id="237"/>
      <w:bookmarkEnd w:id="238"/>
    </w:p>
    <w:p w14:paraId="47BB4B51">
      <w:pPr>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深化“文旅+”业态融合。</w:t>
      </w:r>
      <w:r>
        <w:rPr>
          <w:rFonts w:hint="eastAsia" w:ascii="仿宋_GB2312" w:hAnsi="仿宋_GB2312" w:eastAsia="仿宋_GB2312" w:cs="Times New Roman"/>
          <w:b w:val="0"/>
          <w:bCs w:val="0"/>
          <w:color w:val="auto"/>
          <w:sz w:val="32"/>
          <w:szCs w:val="32"/>
          <w:highlight w:val="none"/>
          <w:lang w:val="en-US" w:eastAsia="zh-CN"/>
        </w:rPr>
        <w:t>深入实施“文旅+百业”“百业+文旅”战略，重点培育智慧旅游、康养旅居、非遗体验等新业态。系统整合炮龙节、岭梅文化旅游节等特色节庆以及高水平机器人大赛等赛事资源，常态化举办“跟着赛事游宾阳”“跟着非遗游宾阳”“跟着节庆游宾阳”等主题营销活动。推动旅游与农业、工业、体育、教育等领域跨界联动，开发农事体验、工业观光、研学旅行等融合产品，延长文旅消费链条，将活动流量有效转化为产业增量。</w:t>
      </w:r>
    </w:p>
    <w:p w14:paraId="2C77C041">
      <w:pPr>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实施景区提质升级工程。</w:t>
      </w:r>
      <w:r>
        <w:rPr>
          <w:rFonts w:hint="eastAsia" w:ascii="仿宋_GB2312" w:hAnsi="仿宋_GB2312" w:eastAsia="仿宋_GB2312" w:cs="Times New Roman"/>
          <w:b w:val="0"/>
          <w:bCs w:val="0"/>
          <w:color w:val="auto"/>
          <w:sz w:val="32"/>
          <w:szCs w:val="32"/>
          <w:highlight w:val="none"/>
          <w:lang w:val="en-US" w:eastAsia="zh-CN"/>
        </w:rPr>
        <w:t>补强</w:t>
      </w:r>
      <w:r>
        <w:rPr>
          <w:rFonts w:hint="eastAsia" w:ascii="仿宋_GB2312" w:hAnsi="仿宋_GB2312" w:cs="Times New Roman"/>
          <w:b w:val="0"/>
          <w:bCs w:val="0"/>
          <w:color w:val="auto"/>
          <w:sz w:val="32"/>
          <w:szCs w:val="32"/>
          <w:highlight w:val="none"/>
          <w:lang w:val="en-US" w:eastAsia="zh-CN"/>
        </w:rPr>
        <w:t>宾阳县当前存在的</w:t>
      </w:r>
      <w:r>
        <w:rPr>
          <w:rFonts w:hint="eastAsia" w:ascii="仿宋_GB2312" w:hAnsi="仿宋_GB2312" w:eastAsia="仿宋_GB2312" w:cs="Times New Roman"/>
          <w:b w:val="0"/>
          <w:bCs w:val="0"/>
          <w:color w:val="auto"/>
          <w:sz w:val="32"/>
          <w:szCs w:val="32"/>
          <w:highlight w:val="none"/>
          <w:lang w:val="en-US" w:eastAsia="zh-CN"/>
        </w:rPr>
        <w:t>旅游基础设施短板</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重点推进连接景区交通线路的改造升级，并加快景区外停车场及连接道路的配套建设。加快旅游公共厕所、游客休憩站点等便民设施的建设与更新。针对各景区不同发展阶段与资源禀赋，实施差异化提质策略。支持古辣“稻花香里”旅游景区对标国家4A级标准，持续巩固服务、设施等既有成果。</w:t>
      </w:r>
      <w:r>
        <w:rPr>
          <w:rFonts w:hint="eastAsia" w:ascii="仿宋_GB2312" w:hAnsi="仿宋_GB2312" w:eastAsia="仿宋_GB2312" w:cs="仿宋_GB2312"/>
          <w:color w:val="auto"/>
          <w:sz w:val="32"/>
          <w:szCs w:val="32"/>
          <w:highlight w:val="none"/>
          <w:u w:val="none" w:color="auto"/>
          <w:lang w:val="en-US" w:eastAsia="zh-CN"/>
        </w:rPr>
        <w:t>积极谋划“昆仑关—名山”生态旅游区联动发展，打造具有区域影响力的旅游带，争创国家5A级旅游景区</w:t>
      </w:r>
      <w:r>
        <w:rPr>
          <w:rFonts w:hint="eastAsia" w:ascii="仿宋_GB2312" w:hAnsi="仿宋_GB2312" w:cs="仿宋_GB2312"/>
          <w:color w:val="auto"/>
          <w:sz w:val="32"/>
          <w:szCs w:val="32"/>
          <w:highlight w:val="none"/>
          <w:u w:val="none" w:color="auto"/>
          <w:lang w:val="en-US" w:eastAsia="zh-CN"/>
        </w:rPr>
        <w:t>。</w:t>
      </w:r>
      <w:r>
        <w:rPr>
          <w:rFonts w:hint="eastAsia" w:ascii="仿宋_GB2312" w:hAnsi="仿宋_GB2312" w:eastAsia="仿宋_GB2312" w:cs="Times New Roman"/>
          <w:b w:val="0"/>
          <w:bCs w:val="0"/>
          <w:color w:val="auto"/>
          <w:sz w:val="32"/>
          <w:szCs w:val="32"/>
          <w:highlight w:val="none"/>
          <w:lang w:val="en-US" w:eastAsia="zh-CN"/>
        </w:rPr>
        <w:t>高质量推进“宾州古城”文旅综合提升项目，完成历史建筑修复、阳明文化传承中心建设及智慧旅游管理系统等配套工程。支持“露圩画家村”等节点融入“环大明山文化旅游发展圈”的区域布局</w:t>
      </w:r>
      <w:r>
        <w:rPr>
          <w:rFonts w:hint="eastAsia" w:ascii="仿宋_GB2312" w:hAnsi="仿宋_GB2312" w:cs="Times New Roman"/>
          <w:b w:val="0"/>
          <w:bCs w:val="0"/>
          <w:color w:val="auto"/>
          <w:sz w:val="32"/>
          <w:szCs w:val="32"/>
          <w:highlight w:val="none"/>
          <w:lang w:val="en-US" w:eastAsia="zh-CN"/>
        </w:rPr>
        <w:t>。</w:t>
      </w:r>
    </w:p>
    <w:p w14:paraId="001844E2">
      <w:pPr>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打造“非遗+”精品旅游线路。</w:t>
      </w:r>
      <w:r>
        <w:rPr>
          <w:rFonts w:hint="eastAsia" w:ascii="仿宋_GB2312" w:hAnsi="仿宋_GB2312" w:eastAsia="仿宋_GB2312" w:cs="Times New Roman"/>
          <w:b w:val="0"/>
          <w:bCs w:val="0"/>
          <w:color w:val="auto"/>
          <w:sz w:val="32"/>
          <w:szCs w:val="32"/>
          <w:highlight w:val="none"/>
          <w:lang w:val="en-US" w:eastAsia="zh-CN"/>
        </w:rPr>
        <w:t>以“宾阳炮龙”为核心文化IP，精心设计并推广“炮龙文化体验游”“稻作文化研学游”“生态康养度假游”等主题线路。有机串联古辣稻花香里旅游景区、陈平名山生态旅游区、宾州古城、露圩水彩画艺术村等核心节点，形成“串珠成链、连片成景”的发展格局。</w:t>
      </w:r>
    </w:p>
    <w:p w14:paraId="579B2BA0">
      <w:pPr>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强化智慧文旅与品牌营销。</w:t>
      </w:r>
      <w:r>
        <w:rPr>
          <w:rFonts w:hint="eastAsia" w:ascii="仿宋_GB2312" w:hAnsi="仿宋_GB2312" w:eastAsia="仿宋_GB2312" w:cs="Times New Roman"/>
          <w:b w:val="0"/>
          <w:bCs w:val="0"/>
          <w:color w:val="auto"/>
          <w:sz w:val="32"/>
          <w:szCs w:val="32"/>
          <w:highlight w:val="none"/>
          <w:lang w:val="en-US" w:eastAsia="zh-CN"/>
        </w:rPr>
        <w:t>推进“人工智能+文旅”深度融合，充分利用“一键游广西”等智慧平台资源，开发建设宾阳智慧文旅服务终端。加强炮龙文化、梅文化等特色资源的创意传播，构建全媒体营销矩阵。通过参加国内外专业展会等方式，持续提升“中国炮龙之乡”品牌的影响力与美誉度，拓展客源市场。</w:t>
      </w:r>
    </w:p>
    <w:p w14:paraId="0048697F">
      <w:pPr>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提升行业治理与服务质量。</w:t>
      </w:r>
      <w:r>
        <w:rPr>
          <w:rFonts w:hint="eastAsia" w:ascii="仿宋_GB2312" w:hAnsi="仿宋_GB2312" w:eastAsia="仿宋_GB2312" w:cs="Times New Roman"/>
          <w:b w:val="0"/>
          <w:bCs w:val="0"/>
          <w:color w:val="auto"/>
          <w:sz w:val="32"/>
          <w:szCs w:val="32"/>
          <w:highlight w:val="none"/>
          <w:lang w:val="en-US" w:eastAsia="zh-CN"/>
        </w:rPr>
        <w:t>健全旅游市场综合监管机制，推行旅游服务质量标准化管理。加强对景区工作人员的定期培训，提升服务意识与专业技能。畅通旅游投诉渠道，优化消费环境，着力营造安全有序的旅游发展环境。</w:t>
      </w:r>
    </w:p>
    <w:p w14:paraId="05077635">
      <w:pPr>
        <w:ind w:firstLine="0" w:firstLineChars="0"/>
        <w:rPr>
          <w:rFonts w:hint="eastAsia"/>
          <w:color w:val="auto"/>
          <w:highlight w:val="none"/>
          <w:lang w:val="en-US" w:eastAsia="zh-CN"/>
        </w:rPr>
        <w:sectPr>
          <w:pgSz w:w="11906" w:h="16838"/>
          <w:pgMar w:top="1440" w:right="1800" w:bottom="1440" w:left="1800" w:header="851" w:footer="992" w:gutter="0"/>
          <w:pgNumType w:fmt="numberInDash"/>
          <w:cols w:space="425" w:num="1"/>
          <w:docGrid w:type="lines" w:linePitch="312" w:charSpace="0"/>
        </w:sectPr>
      </w:pPr>
    </w:p>
    <w:p w14:paraId="14156BB0">
      <w:pPr>
        <w:pStyle w:val="3"/>
        <w:pageBreakBefore w:val="0"/>
        <w:kinsoku/>
        <w:wordWrap/>
        <w:overflowPunct/>
        <w:topLinePunct w:val="0"/>
        <w:autoSpaceDE/>
        <w:autoSpaceDN/>
        <w:bidi w:val="0"/>
        <w:adjustRightInd/>
        <w:snapToGrid/>
        <w:spacing w:line="560" w:lineRule="exact"/>
        <w:ind w:leftChars="0" w:firstLine="0" w:firstLineChars="0"/>
        <w:jc w:val="center"/>
        <w:textAlignment w:val="auto"/>
        <w:rPr>
          <w:rFonts w:hint="eastAsia" w:cs="Times New Roman" w:asciiTheme="minorAscii" w:hAnsiTheme="minorAscii"/>
          <w:b/>
          <w:bCs w:val="0"/>
          <w:color w:val="auto"/>
          <w:sz w:val="32"/>
          <w:szCs w:val="32"/>
          <w:highlight w:val="none"/>
          <w:lang w:val="en-US" w:eastAsia="zh-CN"/>
        </w:rPr>
      </w:pPr>
      <w:bookmarkStart w:id="240" w:name="_Toc27782"/>
      <w:bookmarkStart w:id="241" w:name="_Toc26152"/>
      <w:bookmarkStart w:id="242" w:name="_Toc31214"/>
      <w:bookmarkStart w:id="243" w:name="_Toc26599"/>
      <w:r>
        <w:rPr>
          <w:rFonts w:hint="eastAsia" w:cs="Times New Roman" w:asciiTheme="minorAscii" w:hAnsiTheme="minorAscii"/>
          <w:b w:val="0"/>
          <w:bCs/>
          <w:color w:val="auto"/>
          <w:sz w:val="32"/>
          <w:szCs w:val="32"/>
          <w:highlight w:val="none"/>
          <w:lang w:val="en-US" w:eastAsia="zh-CN"/>
        </w:rPr>
        <w:t>第十一章</w:t>
      </w:r>
      <w:r>
        <w:rPr>
          <w:rFonts w:hint="eastAsia" w:cs="Times New Roman" w:asciiTheme="minorAscii" w:hAnsiTheme="minorAscii"/>
          <w:b/>
          <w:bCs w:val="0"/>
          <w:color w:val="auto"/>
          <w:sz w:val="32"/>
          <w:szCs w:val="32"/>
          <w:highlight w:val="none"/>
          <w:lang w:val="en-US" w:eastAsia="zh-CN"/>
        </w:rPr>
        <w:t xml:space="preserve"> </w:t>
      </w:r>
      <w:r>
        <w:rPr>
          <w:rFonts w:hint="eastAsia" w:eastAsia="黑体" w:asciiTheme="minorAscii" w:hAnsiTheme="minorAscii"/>
          <w:b w:val="0"/>
          <w:bCs w:val="0"/>
          <w:color w:val="auto"/>
          <w:sz w:val="32"/>
          <w:szCs w:val="32"/>
          <w:highlight w:val="none"/>
          <w:u w:val="none" w:color="auto"/>
          <w:lang w:val="en-US" w:eastAsia="zh-CN"/>
        </w:rPr>
        <w:t>深入推进贯彻落实建设铸牢中华民族共同体意识示范区工作，争创全国民族团结进步示范县</w:t>
      </w:r>
      <w:bookmarkEnd w:id="239"/>
      <w:bookmarkEnd w:id="240"/>
      <w:bookmarkEnd w:id="241"/>
      <w:bookmarkEnd w:id="242"/>
      <w:bookmarkEnd w:id="243"/>
    </w:p>
    <w:p w14:paraId="408CF68A">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ascii="仿宋_GB2312" w:hAnsi="仿宋_GB2312" w:eastAsia="仿宋_GB2312" w:cs="仿宋_GB2312"/>
          <w:b w:val="0"/>
          <w:bCs/>
          <w:color w:val="auto"/>
          <w:highlight w:val="none"/>
          <w:lang w:val="en-US" w:eastAsia="zh-CN"/>
        </w:rPr>
      </w:pPr>
      <w:bookmarkStart w:id="244" w:name="_Toc2000"/>
      <w:bookmarkStart w:id="245" w:name="_Toc30349"/>
      <w:r>
        <w:rPr>
          <w:rFonts w:hint="eastAsia" w:ascii="仿宋_GB2312" w:hAnsi="仿宋_GB2312" w:eastAsia="仿宋_GB2312" w:cs="仿宋_GB2312"/>
          <w:b w:val="0"/>
          <w:bCs/>
          <w:color w:val="auto"/>
          <w:highlight w:val="none"/>
          <w:lang w:val="en-US" w:eastAsia="zh-CN"/>
        </w:rPr>
        <w:t>紧扣铸牢中华民族共同体意识主线，牢牢把握“中华民族一家亲，同心共筑中国梦”的共同目标，立足我县多民族聚居的实际，将民族团结进步事业融入经济社会发展全过程。以有形之魂引导价值认同，以有感之举促进交往交流交融，以有效之方深化创建实效，持续巩固和发展平等团结互助和谐的社会主义民族关系。着力构建和丰富各民族共有的精神文化，协同推进共同富裕、社会和谐、生态宜居与边疆稳定，为建设中华民族共有精神家园、共同富裕幸福家园、守望相助和谐家园、宜居康寿美丽家园、边疆稳定平安家园贡献宾阳力量。</w:t>
      </w:r>
    </w:p>
    <w:p w14:paraId="605D8B8E">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46" w:name="_Toc2068"/>
      <w:bookmarkStart w:id="247" w:name="_Toc3091"/>
      <w:bookmarkStart w:id="248" w:name="_Toc25447"/>
      <w:r>
        <w:rPr>
          <w:rFonts w:hint="eastAsia"/>
          <w:color w:val="auto"/>
          <w:highlight w:val="none"/>
          <w:lang w:val="en-US" w:eastAsia="zh-CN"/>
        </w:rPr>
        <w:t xml:space="preserve">第一节 </w:t>
      </w:r>
      <w:r>
        <w:rPr>
          <w:rFonts w:hint="eastAsia" w:ascii="楷体_GB2312" w:hAnsi="楷体_GB2312" w:eastAsia="楷体_GB2312" w:cs="楷体_GB2312"/>
          <w:b/>
          <w:bCs/>
          <w:strike w:val="0"/>
          <w:dstrike w:val="0"/>
          <w:color w:val="auto"/>
          <w:sz w:val="32"/>
          <w:szCs w:val="32"/>
          <w:highlight w:val="none"/>
          <w:u w:val="none"/>
        </w:rPr>
        <w:t>推动各民族共同走向社会主义现代化</w:t>
      </w:r>
      <w:bookmarkEnd w:id="244"/>
      <w:bookmarkEnd w:id="245"/>
      <w:bookmarkEnd w:id="246"/>
      <w:bookmarkEnd w:id="247"/>
      <w:bookmarkEnd w:id="248"/>
    </w:p>
    <w:p w14:paraId="433D7AE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color w:val="auto"/>
          <w:sz w:val="32"/>
          <w:szCs w:val="32"/>
          <w:highlight w:val="none"/>
          <w:lang w:val="en-US" w:eastAsia="zh-CN"/>
        </w:rPr>
      </w:pPr>
      <w:r>
        <w:rPr>
          <w:rFonts w:hint="eastAsia"/>
          <w:b/>
          <w:bCs/>
          <w:color w:val="auto"/>
          <w:sz w:val="32"/>
          <w:szCs w:val="32"/>
          <w:highlight w:val="none"/>
          <w:lang w:val="en-US" w:eastAsia="zh-CN"/>
        </w:rPr>
        <w:t>优化民族聚居区公共服务供给。</w:t>
      </w:r>
      <w:r>
        <w:rPr>
          <w:rFonts w:hint="eastAsia"/>
          <w:color w:val="auto"/>
          <w:sz w:val="32"/>
          <w:szCs w:val="32"/>
          <w:highlight w:val="none"/>
          <w:lang w:val="en-US" w:eastAsia="zh-CN"/>
        </w:rPr>
        <w:t>推动教育、医疗、文化等优质公共服务资源向民族聚居区优先配置和倾斜。新建、改扩建一批民族聚居区标准化学校，改善办学条件。支持乡镇卫生院、村卫生室提升服务能力，推广智慧医疗服务。加快完善民族聚居区交通、供水、供电、通信、人居环境等基础设施，提升宜居宜业水平。</w:t>
      </w:r>
    </w:p>
    <w:p w14:paraId="3C73117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color w:val="auto"/>
          <w:sz w:val="32"/>
          <w:szCs w:val="32"/>
          <w:highlight w:val="none"/>
          <w:lang w:val="en-US" w:eastAsia="zh-CN"/>
        </w:rPr>
      </w:pPr>
      <w:r>
        <w:rPr>
          <w:rFonts w:hint="eastAsia"/>
          <w:b/>
          <w:bCs/>
          <w:color w:val="auto"/>
          <w:sz w:val="32"/>
          <w:szCs w:val="32"/>
          <w:highlight w:val="none"/>
          <w:lang w:val="en-US" w:eastAsia="zh-CN"/>
        </w:rPr>
        <w:t>发展壮大民族特色优势产业。</w:t>
      </w:r>
      <w:r>
        <w:rPr>
          <w:rFonts w:hint="eastAsia"/>
          <w:color w:val="auto"/>
          <w:sz w:val="32"/>
          <w:szCs w:val="32"/>
          <w:highlight w:val="none"/>
          <w:lang w:val="en-US" w:eastAsia="zh-CN"/>
        </w:rPr>
        <w:t>制定专项扶持政策，大力发展壮大壮锦、竹编、红陶等民族手工业与优势特色产业。建设民族手工艺传承基地和产业园，培育龙头企业和专业合作社，推动民族手工业向规模化、品牌化、市场化发展。促进民品产业健康发展，引导民族手工业与现代设计、电子商务等融合创新，开发符合市场需求的文创产品和旅游商品，拓宽群众增收致富渠道。</w:t>
      </w:r>
    </w:p>
    <w:p w14:paraId="380DD5E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color w:val="auto"/>
          <w:sz w:val="32"/>
          <w:szCs w:val="32"/>
          <w:highlight w:val="none"/>
          <w:lang w:val="en-US" w:eastAsia="zh-CN"/>
        </w:rPr>
      </w:pPr>
      <w:r>
        <w:rPr>
          <w:rFonts w:hint="eastAsia"/>
          <w:b/>
          <w:bCs/>
          <w:color w:val="auto"/>
          <w:sz w:val="32"/>
          <w:szCs w:val="32"/>
          <w:highlight w:val="none"/>
          <w:lang w:val="en-US" w:eastAsia="zh-CN"/>
        </w:rPr>
        <w:t>推动民族村寨与乡村旅游融合发展。</w:t>
      </w:r>
      <w:r>
        <w:rPr>
          <w:rFonts w:hint="eastAsia"/>
          <w:color w:val="auto"/>
          <w:sz w:val="32"/>
          <w:szCs w:val="32"/>
          <w:highlight w:val="none"/>
          <w:lang w:val="en-US" w:eastAsia="zh-CN"/>
        </w:rPr>
        <w:t>持续推进古辣镇古辣社区蔡村等民族特色村寨的保护与发展，完善旅游配套设施，深入挖掘民族文化内涵。支持民族村寨发展特色民宿、农家乐、民俗体验等项目，将民族特色村寨打造成为文旅融合发展示范点，促进民族优秀传统文化传承与乡村振兴有机结合。</w:t>
      </w:r>
    </w:p>
    <w:p w14:paraId="76222B1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color w:val="auto"/>
          <w:sz w:val="32"/>
          <w:szCs w:val="32"/>
          <w:highlight w:val="none"/>
          <w:lang w:val="en-US" w:eastAsia="zh-CN"/>
        </w:rPr>
      </w:pPr>
      <w:r>
        <w:rPr>
          <w:rFonts w:hint="eastAsia"/>
          <w:b/>
          <w:bCs/>
          <w:color w:val="auto"/>
          <w:sz w:val="32"/>
          <w:szCs w:val="32"/>
          <w:highlight w:val="none"/>
          <w:lang w:val="en-US" w:eastAsia="zh-CN"/>
        </w:rPr>
        <w:t>加强各族群众素质能力提升。</w:t>
      </w:r>
      <w:r>
        <w:rPr>
          <w:rFonts w:hint="eastAsia"/>
          <w:color w:val="auto"/>
          <w:sz w:val="32"/>
          <w:szCs w:val="32"/>
          <w:highlight w:val="none"/>
          <w:lang w:val="en-US" w:eastAsia="zh-CN"/>
        </w:rPr>
        <w:t>健全技能培训体系，推动各族适龄劳动力职业技能培训全覆盖，重点开展与现代产业、民族手工业、乡村旅游等相关的实用技术培训。加强各族群众国家通用语言文字教育和现代文明教育，深入开展科普宣传、法治教育、卫生健康知识普及等活动，提升群众科学文化素质和文明素养。</w:t>
      </w:r>
    </w:p>
    <w:p w14:paraId="48C55E3F">
      <w:pPr>
        <w:keepNext w:val="0"/>
        <w:keepLines w:val="0"/>
        <w:pageBreakBefore w:val="0"/>
        <w:widowControl w:val="0"/>
        <w:kinsoku/>
        <w:wordWrap/>
        <w:overflowPunct/>
        <w:topLinePunct w:val="0"/>
        <w:autoSpaceDE/>
        <w:autoSpaceDN/>
        <w:bidi w:val="0"/>
        <w:adjustRightInd/>
        <w:snapToGrid/>
        <w:spacing w:line="560" w:lineRule="exact"/>
        <w:ind w:firstLine="643"/>
        <w:textAlignment w:val="auto"/>
        <w:outlineLvl w:val="9"/>
        <w:rPr>
          <w:rFonts w:hint="eastAsia"/>
          <w:color w:val="auto"/>
          <w:sz w:val="32"/>
          <w:szCs w:val="32"/>
          <w:highlight w:val="none"/>
          <w:lang w:val="en-US" w:eastAsia="zh-CN"/>
        </w:rPr>
      </w:pPr>
      <w:r>
        <w:rPr>
          <w:rFonts w:hint="eastAsia"/>
          <w:b/>
          <w:bCs/>
          <w:color w:val="auto"/>
          <w:sz w:val="32"/>
          <w:szCs w:val="32"/>
          <w:highlight w:val="none"/>
          <w:lang w:val="en-US" w:eastAsia="zh-CN"/>
        </w:rPr>
        <w:t>积极争取纳入共同现代化试点。</w:t>
      </w:r>
      <w:r>
        <w:rPr>
          <w:rFonts w:hint="eastAsia"/>
          <w:color w:val="auto"/>
          <w:sz w:val="32"/>
          <w:szCs w:val="32"/>
          <w:highlight w:val="none"/>
          <w:lang w:val="en-US" w:eastAsia="zh-CN"/>
        </w:rPr>
        <w:t>积极争取将我县纳入自治区推进各民族共同走向社会主义现代化试点县。围绕基础设施、产业发展、公共服务、素质提升、文化传承等重点领域，探索形成可复制、可推广的经验模式。以试点为契机，争取更多政策、项目、资金支持，推动民族聚居区现代化建设取得实质性进展。</w:t>
      </w:r>
    </w:p>
    <w:p w14:paraId="633E910F">
      <w:pPr>
        <w:keepNext w:val="0"/>
        <w:keepLines w:val="0"/>
        <w:ind w:firstLine="0" w:firstLineChars="0"/>
        <w:outlineLvl w:val="1"/>
        <w:rPr>
          <w:rFonts w:hint="eastAsia"/>
          <w:b/>
          <w:bCs/>
          <w:color w:val="auto"/>
          <w:highlight w:val="none"/>
          <w:lang w:val="en-US" w:eastAsia="zh-CN"/>
        </w:rPr>
      </w:pPr>
      <w:bookmarkStart w:id="249" w:name="_Toc24391"/>
      <w:bookmarkStart w:id="250" w:name="_Toc23749"/>
      <w:bookmarkStart w:id="251" w:name="_Toc575"/>
      <w:r>
        <w:rPr>
          <w:rFonts w:hint="eastAsia"/>
          <w:b/>
          <w:bCs/>
          <w:color w:val="auto"/>
          <w:highlight w:val="none"/>
          <w:lang w:val="en-US" w:eastAsia="zh-CN"/>
        </w:rPr>
        <w:t xml:space="preserve">第二节 </w:t>
      </w:r>
      <w:r>
        <w:rPr>
          <w:rFonts w:hint="eastAsia" w:ascii="楷体" w:hAnsi="楷体" w:eastAsia="楷体" w:cs="楷体"/>
          <w:b/>
          <w:bCs/>
          <w:i w:val="0"/>
          <w:iCs w:val="0"/>
          <w:caps w:val="0"/>
          <w:color w:val="auto"/>
          <w:spacing w:val="0"/>
          <w:sz w:val="32"/>
          <w:szCs w:val="32"/>
          <w:highlight w:val="none"/>
          <w:shd w:val="clear" w:fill="FFFFFF"/>
        </w:rPr>
        <w:t>加强铸牢中华民族共同体意识理论研究和宣传教育</w:t>
      </w:r>
      <w:bookmarkEnd w:id="249"/>
      <w:bookmarkEnd w:id="250"/>
      <w:bookmarkEnd w:id="251"/>
    </w:p>
    <w:p w14:paraId="19A860E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组建本土理论研究与创新队伍。</w:t>
      </w:r>
      <w:r>
        <w:rPr>
          <w:rFonts w:hint="eastAsia" w:ascii="仿宋_GB2312" w:hAnsi="仿宋_GB2312" w:eastAsia="仿宋_GB2312" w:cs="仿宋_GB2312"/>
          <w:b w:val="0"/>
          <w:bCs w:val="0"/>
          <w:color w:val="auto"/>
          <w:sz w:val="32"/>
          <w:szCs w:val="32"/>
          <w:highlight w:val="none"/>
          <w:lang w:val="en-US" w:eastAsia="zh-CN"/>
        </w:rPr>
        <w:t>大力推进中华民族共同体理论研究和实践创新，依托县委党校、县社科联等机构，组建一支由领导干部、专家学者、文化工作者、基层骨干组成的县级铸牢中华民族共同体意识理论研究队伍。围绕中华民族交往交流交融史在宾阳的本土实践、民族文化融合创新、民族团结进步</w:t>
      </w:r>
      <w:r>
        <w:rPr>
          <w:rFonts w:hint="eastAsia" w:ascii="仿宋_GB2312" w:hAnsi="仿宋_GB2312" w:cs="仿宋_GB2312"/>
          <w:b w:val="0"/>
          <w:bCs w:val="0"/>
          <w:color w:val="auto"/>
          <w:sz w:val="32"/>
          <w:szCs w:val="32"/>
          <w:highlight w:val="none"/>
          <w:lang w:val="en-US" w:eastAsia="zh-CN"/>
        </w:rPr>
        <w:t>建立</w:t>
      </w:r>
      <w:r>
        <w:rPr>
          <w:rFonts w:hint="eastAsia" w:ascii="仿宋_GB2312" w:hAnsi="仿宋_GB2312" w:eastAsia="仿宋_GB2312" w:cs="仿宋_GB2312"/>
          <w:b w:val="0"/>
          <w:bCs w:val="0"/>
          <w:color w:val="auto"/>
          <w:sz w:val="32"/>
          <w:szCs w:val="32"/>
          <w:highlight w:val="none"/>
          <w:lang w:val="en-US" w:eastAsia="zh-CN"/>
        </w:rPr>
        <w:t>长效机制等重大基础性问题开展应用性研究。鼓励支持队伍深入基层调研，总结提炼“民族团结+”融合发展等本地实践经验，努力形成一批具有宾阳特色的理论成果与实践案例，为讲好宾阳民族团结故事提供支撑。</w:t>
      </w:r>
    </w:p>
    <w:p w14:paraId="308AAF8D">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构建全领域覆盖的大宣教工作格局。</w:t>
      </w:r>
      <w:r>
        <w:rPr>
          <w:rFonts w:hint="eastAsia" w:ascii="仿宋_GB2312" w:hAnsi="仿宋_GB2312" w:eastAsia="仿宋_GB2312" w:cs="仿宋_GB2312"/>
          <w:b w:val="0"/>
          <w:bCs w:val="0"/>
          <w:color w:val="auto"/>
          <w:sz w:val="32"/>
          <w:szCs w:val="32"/>
          <w:highlight w:val="none"/>
          <w:lang w:val="en-US" w:eastAsia="zh-CN"/>
        </w:rPr>
        <w:t>将铸牢中华民族共同体意识作为主线，全面纳入干部教育、党员教育、国民教育和社会教育体系。在干部教育中，将相关理论政策作为县委党校主体班次必修课程；在党员教育中，融入“三会一课”、主题党日活动；在国民教育中，推动民族团结进步教育进教材、进课堂、进头脑。同时，深入开展社会宣传教育，利用好“宾阳发布”、县级融媒体中心等平台开设专题专栏，制作通俗易懂的宣传教育产品。结合“三月三</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炮龙节</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val="en-US" w:eastAsia="zh-CN"/>
        </w:rPr>
        <w:t>等民族节庆，广泛开展群众性文化活动，让共同体理念融入各族群众日常生活。</w:t>
      </w:r>
    </w:p>
    <w:p w14:paraId="4A5607C0">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深入推进民族团结进步示范创建。</w:t>
      </w:r>
      <w:r>
        <w:rPr>
          <w:rFonts w:hint="eastAsia" w:ascii="仿宋_GB2312" w:hAnsi="仿宋_GB2312" w:eastAsia="仿宋_GB2312" w:cs="仿宋_GB2312"/>
          <w:b w:val="0"/>
          <w:bCs w:val="0"/>
          <w:color w:val="auto"/>
          <w:sz w:val="32"/>
          <w:szCs w:val="32"/>
          <w:highlight w:val="none"/>
          <w:lang w:val="en-US" w:eastAsia="zh-CN"/>
        </w:rPr>
        <w:t>以争创全国民族团结进步示范县为目标，高标准培育一批国家级、自治区级民族团结进步示范单位。建立示范单位动态管理和梯次培育机制，重点支持古辣蔡村、</w:t>
      </w:r>
      <w:r>
        <w:rPr>
          <w:rFonts w:hint="eastAsia" w:ascii="仿宋_GB2312" w:hAnsi="仿宋_GB2312" w:cs="仿宋_GB2312"/>
          <w:b w:val="0"/>
          <w:bCs w:val="0"/>
          <w:color w:val="auto"/>
          <w:sz w:val="32"/>
          <w:szCs w:val="32"/>
          <w:highlight w:val="none"/>
          <w:lang w:val="en-US" w:eastAsia="zh-CN"/>
        </w:rPr>
        <w:t>凤凰小学、新城社区</w:t>
      </w:r>
      <w:r>
        <w:rPr>
          <w:rFonts w:hint="eastAsia" w:ascii="仿宋_GB2312" w:hAnsi="仿宋_GB2312" w:eastAsia="仿宋_GB2312" w:cs="仿宋_GB2312"/>
          <w:b w:val="0"/>
          <w:bCs w:val="0"/>
          <w:color w:val="auto"/>
          <w:sz w:val="32"/>
          <w:szCs w:val="32"/>
          <w:highlight w:val="none"/>
          <w:lang w:val="en-US" w:eastAsia="zh-CN"/>
        </w:rPr>
        <w:t>等基础较好的单位先行先试、打造品牌。总结推广示范单位的先进经验，形成“以点带面、连线成片”的创建态势，全面提升全县民族团结进步事业的整体水平。</w:t>
      </w:r>
    </w:p>
    <w:p w14:paraId="7F503D21">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52" w:name="_Toc31262"/>
      <w:bookmarkStart w:id="253" w:name="_Toc6897"/>
      <w:bookmarkStart w:id="254" w:name="_Toc21659"/>
      <w:bookmarkStart w:id="255" w:name="_Toc6615"/>
      <w:bookmarkStart w:id="256" w:name="_Toc17100"/>
      <w:r>
        <w:rPr>
          <w:rFonts w:hint="eastAsia"/>
          <w:color w:val="auto"/>
          <w:highlight w:val="none"/>
          <w:lang w:val="en-US" w:eastAsia="zh-CN"/>
        </w:rPr>
        <w:t xml:space="preserve">第三节 </w:t>
      </w:r>
      <w:r>
        <w:rPr>
          <w:rFonts w:hint="eastAsia" w:ascii="楷体_GB2312" w:hAnsi="楷体_GB2312" w:eastAsia="楷体_GB2312" w:cs="楷体_GB2312"/>
          <w:b/>
          <w:bCs/>
          <w:color w:val="auto"/>
          <w:sz w:val="32"/>
          <w:szCs w:val="32"/>
          <w:highlight w:val="none"/>
          <w:u w:val="none"/>
          <w:lang w:val="en-US" w:eastAsia="zh-CN"/>
        </w:rPr>
        <w:t>促进各民族广泛交往交流交融</w:t>
      </w:r>
      <w:bookmarkEnd w:id="252"/>
      <w:bookmarkEnd w:id="253"/>
      <w:bookmarkEnd w:id="254"/>
      <w:bookmarkEnd w:id="255"/>
      <w:bookmarkEnd w:id="256"/>
    </w:p>
    <w:p w14:paraId="5C7E8577">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全面落实民族平等权利保障。</w:t>
      </w:r>
      <w:r>
        <w:rPr>
          <w:rFonts w:hint="eastAsia" w:ascii="仿宋_GB2312" w:hAnsi="仿宋_GB2312" w:eastAsia="仿宋_GB2312" w:cs="Times New Roman"/>
          <w:b w:val="0"/>
          <w:bCs w:val="0"/>
          <w:color w:val="auto"/>
          <w:kern w:val="0"/>
          <w:sz w:val="32"/>
          <w:szCs w:val="32"/>
          <w:highlight w:val="none"/>
          <w:lang w:val="en-US" w:eastAsia="zh-CN" w:bidi="ar"/>
        </w:rPr>
        <w:t>在</w:t>
      </w:r>
      <w:r>
        <w:rPr>
          <w:rFonts w:hint="eastAsia" w:ascii="仿宋_GB2312" w:hAnsi="仿宋_GB2312" w:cs="Times New Roman"/>
          <w:b w:val="0"/>
          <w:bCs w:val="0"/>
          <w:color w:val="auto"/>
          <w:kern w:val="0"/>
          <w:sz w:val="32"/>
          <w:szCs w:val="32"/>
          <w:highlight w:val="none"/>
          <w:lang w:val="en-US" w:eastAsia="zh-CN" w:bidi="ar"/>
        </w:rPr>
        <w:t>制定</w:t>
      </w:r>
      <w:r>
        <w:rPr>
          <w:rFonts w:hint="eastAsia" w:ascii="仿宋_GB2312" w:hAnsi="仿宋_GB2312" w:eastAsia="仿宋_GB2312" w:cs="Times New Roman"/>
          <w:b w:val="0"/>
          <w:bCs w:val="0"/>
          <w:color w:val="auto"/>
          <w:kern w:val="0"/>
          <w:sz w:val="32"/>
          <w:szCs w:val="32"/>
          <w:highlight w:val="none"/>
          <w:lang w:val="en-US" w:eastAsia="zh-CN" w:bidi="ar"/>
        </w:rPr>
        <w:t>发展规划、年度计划和配置公共资源时，</w:t>
      </w:r>
      <w:r>
        <w:rPr>
          <w:rFonts w:hint="eastAsia" w:ascii="仿宋_GB2312" w:hAnsi="仿宋_GB2312" w:cs="Times New Roman"/>
          <w:b w:val="0"/>
          <w:bCs w:val="0"/>
          <w:color w:val="auto"/>
          <w:kern w:val="0"/>
          <w:sz w:val="32"/>
          <w:szCs w:val="32"/>
          <w:highlight w:val="none"/>
          <w:lang w:val="en-US" w:eastAsia="zh-CN" w:bidi="ar"/>
        </w:rPr>
        <w:t>坚持</w:t>
      </w:r>
      <w:r>
        <w:rPr>
          <w:rFonts w:hint="eastAsia" w:ascii="仿宋_GB2312" w:hAnsi="仿宋_GB2312" w:eastAsia="仿宋_GB2312" w:cs="Times New Roman"/>
          <w:b w:val="0"/>
          <w:bCs w:val="0"/>
          <w:color w:val="auto"/>
          <w:kern w:val="0"/>
          <w:sz w:val="32"/>
          <w:szCs w:val="32"/>
          <w:highlight w:val="none"/>
          <w:lang w:val="en-US" w:eastAsia="zh-CN" w:bidi="ar"/>
        </w:rPr>
        <w:t>促进民族平等、共享发展成果</w:t>
      </w:r>
      <w:r>
        <w:rPr>
          <w:rFonts w:hint="eastAsia" w:ascii="仿宋_GB2312" w:hAnsi="仿宋_GB2312" w:cs="Times New Roman"/>
          <w:b w:val="0"/>
          <w:bCs w:val="0"/>
          <w:color w:val="auto"/>
          <w:kern w:val="0"/>
          <w:sz w:val="32"/>
          <w:szCs w:val="32"/>
          <w:highlight w:val="none"/>
          <w:lang w:val="en-US" w:eastAsia="zh-CN" w:bidi="ar"/>
        </w:rPr>
        <w:t>的</w:t>
      </w:r>
      <w:r>
        <w:rPr>
          <w:rFonts w:hint="eastAsia" w:ascii="仿宋_GB2312" w:hAnsi="仿宋_GB2312" w:eastAsia="仿宋_GB2312" w:cs="Times New Roman"/>
          <w:b w:val="0"/>
          <w:bCs w:val="0"/>
          <w:color w:val="auto"/>
          <w:kern w:val="0"/>
          <w:sz w:val="32"/>
          <w:szCs w:val="32"/>
          <w:highlight w:val="none"/>
          <w:lang w:val="en-US" w:eastAsia="zh-CN" w:bidi="ar"/>
        </w:rPr>
        <w:t>基本原则。确保民族聚居区在经济项目布局、教育投入、就业援助、社区建设、文化设施等方面获得公平份额和优先支持。在干部培养、选拔和使用中，坚持德才兼备、五湖四海原则，加大优秀少数民族干部的培养选拔力度，优化干部队伍结构，保障各民族平等参与国家和社会事务管理的权利。</w:t>
      </w:r>
    </w:p>
    <w:p w14:paraId="25545F31">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优化互嵌式社会结构与社区环境。</w:t>
      </w:r>
      <w:r>
        <w:rPr>
          <w:rFonts w:hint="eastAsia" w:ascii="仿宋_GB2312" w:hAnsi="仿宋_GB2312" w:eastAsia="仿宋_GB2312" w:cs="Times New Roman"/>
          <w:b w:val="0"/>
          <w:bCs w:val="0"/>
          <w:color w:val="auto"/>
          <w:kern w:val="0"/>
          <w:sz w:val="32"/>
          <w:szCs w:val="32"/>
          <w:highlight w:val="none"/>
          <w:lang w:val="en-US" w:eastAsia="zh-CN" w:bidi="ar"/>
        </w:rPr>
        <w:t>优化城镇空间布局和社区发展规划，鼓励和引导各民族在居住、就业、就学等方面相互嵌入、和睦共处。加强城市民族工作，建立健全城市少数民族流动人口服务管理体系，推动社区建设民族团结进步“家”文化，打造一批各民族共居共学、共建共享、共事共乐的示范社区和示范单位，营造包容开放、和谐互助的社会氛围。</w:t>
      </w:r>
    </w:p>
    <w:p w14:paraId="1E9D9BD2">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推动民族产业与文旅融合突破发展。</w:t>
      </w:r>
      <w:r>
        <w:rPr>
          <w:rFonts w:hint="eastAsia" w:ascii="仿宋_GB2312" w:hAnsi="仿宋_GB2312" w:eastAsia="仿宋_GB2312" w:cs="Times New Roman"/>
          <w:b w:val="0"/>
          <w:bCs w:val="0"/>
          <w:color w:val="auto"/>
          <w:kern w:val="0"/>
          <w:sz w:val="32"/>
          <w:szCs w:val="32"/>
          <w:highlight w:val="none"/>
          <w:lang w:val="en-US" w:eastAsia="zh-CN" w:bidi="ar"/>
        </w:rPr>
        <w:t>以铸牢中华民族共同体意识为主线，推动民族特色产业与</w:t>
      </w:r>
      <w:r>
        <w:rPr>
          <w:rFonts w:hint="eastAsia" w:ascii="仿宋_GB2312" w:hAnsi="仿宋_GB2312" w:cs="Times New Roman"/>
          <w:b w:val="0"/>
          <w:bCs w:val="0"/>
          <w:color w:val="auto"/>
          <w:kern w:val="0"/>
          <w:sz w:val="32"/>
          <w:szCs w:val="32"/>
          <w:highlight w:val="none"/>
          <w:lang w:val="en-US" w:eastAsia="zh-CN" w:bidi="ar"/>
        </w:rPr>
        <w:t>文化和旅游深度融合发展</w:t>
      </w:r>
      <w:r>
        <w:rPr>
          <w:rFonts w:hint="eastAsia" w:ascii="仿宋_GB2312" w:hAnsi="仿宋_GB2312" w:eastAsia="仿宋_GB2312" w:cs="Times New Roman"/>
          <w:b w:val="0"/>
          <w:bCs w:val="0"/>
          <w:color w:val="auto"/>
          <w:kern w:val="0"/>
          <w:sz w:val="32"/>
          <w:szCs w:val="32"/>
          <w:highlight w:val="none"/>
          <w:lang w:val="en-US" w:eastAsia="zh-CN" w:bidi="ar"/>
        </w:rPr>
        <w:t>取得突破性进展。重点支持壮锦、竹编、红陶等民族手工业与文创设计、现代营销结合，开发具有市场吸引力的民族特色文创产品和旅游商品。规划建设民族特色文化产业园区或街区，打造“民族团结+非遗</w:t>
      </w:r>
      <w:r>
        <w:rPr>
          <w:rFonts w:hint="eastAsia" w:ascii="仿宋_GB2312" w:hAnsi="仿宋_GB2312" w:cs="Times New Roman"/>
          <w:b w:val="0"/>
          <w:bCs w:val="0"/>
          <w:color w:val="auto"/>
          <w:kern w:val="0"/>
          <w:sz w:val="32"/>
          <w:szCs w:val="32"/>
          <w:highlight w:val="none"/>
          <w:lang w:val="en-US" w:eastAsia="zh-CN" w:bidi="ar"/>
        </w:rPr>
        <w:t>”“</w:t>
      </w:r>
      <w:r>
        <w:rPr>
          <w:rFonts w:hint="eastAsia" w:ascii="仿宋_GB2312" w:hAnsi="仿宋_GB2312" w:eastAsia="仿宋_GB2312" w:cs="Times New Roman"/>
          <w:b w:val="0"/>
          <w:bCs w:val="0"/>
          <w:color w:val="auto"/>
          <w:kern w:val="0"/>
          <w:sz w:val="32"/>
          <w:szCs w:val="32"/>
          <w:highlight w:val="none"/>
          <w:lang w:val="en-US" w:eastAsia="zh-CN" w:bidi="ar"/>
        </w:rPr>
        <w:t>民族团结+旅游”融合发展示范项目，将民族文化产业培育成为促进交往交流交融、带动群众增收致富的新增长点。</w:t>
      </w:r>
    </w:p>
    <w:p w14:paraId="205F5400">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打造品牌化交往交流交融平台。</w:t>
      </w:r>
      <w:r>
        <w:rPr>
          <w:rFonts w:hint="eastAsia" w:ascii="仿宋_GB2312" w:hAnsi="仿宋_GB2312" w:eastAsia="仿宋_GB2312" w:cs="Times New Roman"/>
          <w:b w:val="0"/>
          <w:bCs w:val="0"/>
          <w:color w:val="auto"/>
          <w:kern w:val="0"/>
          <w:sz w:val="32"/>
          <w:szCs w:val="32"/>
          <w:highlight w:val="none"/>
          <w:lang w:val="en-US" w:eastAsia="zh-CN" w:bidi="ar"/>
        </w:rPr>
        <w:t>将“宾阳炮龙节”提升打造为展示</w:t>
      </w:r>
      <w:r>
        <w:rPr>
          <w:rFonts w:hint="eastAsia" w:ascii="仿宋_GB2312" w:hAnsi="仿宋_GB2312" w:cs="Times New Roman"/>
          <w:b w:val="0"/>
          <w:bCs w:val="0"/>
          <w:color w:val="auto"/>
          <w:kern w:val="0"/>
          <w:sz w:val="32"/>
          <w:szCs w:val="32"/>
          <w:highlight w:val="none"/>
          <w:lang w:val="en-US" w:eastAsia="zh-CN" w:bidi="ar"/>
        </w:rPr>
        <w:t>中华优秀传统文化</w:t>
      </w:r>
      <w:r>
        <w:rPr>
          <w:rFonts w:hint="eastAsia" w:ascii="仿宋_GB2312" w:hAnsi="仿宋_GB2312" w:eastAsia="仿宋_GB2312" w:cs="Times New Roman"/>
          <w:b w:val="0"/>
          <w:bCs w:val="0"/>
          <w:color w:val="auto"/>
          <w:kern w:val="0"/>
          <w:sz w:val="32"/>
          <w:szCs w:val="32"/>
          <w:highlight w:val="none"/>
          <w:lang w:val="en-US" w:eastAsia="zh-CN" w:bidi="ar"/>
        </w:rPr>
        <w:t>、促进各民族深度交融的全国性节庆品牌。推动露圩镇“圩逢节”等活动品牌化、常态化发展，丰富活动内涵，创新活动形式。鼓励支持各乡镇、村（社区）依托本地民族文化资源，定期举办形式多样的群众性文化交流活动，搭建常态化、多层次、广覆盖的民族交往交流平台，增进文化认同与情感共鸣。</w:t>
      </w:r>
    </w:p>
    <w:p w14:paraId="1A8DDF49">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深入实施国家通用语言文字普及行动。</w:t>
      </w:r>
      <w:r>
        <w:rPr>
          <w:rFonts w:hint="eastAsia" w:ascii="仿宋_GB2312" w:hAnsi="仿宋_GB2312" w:eastAsia="仿宋_GB2312" w:cs="Times New Roman"/>
          <w:b w:val="0"/>
          <w:bCs w:val="0"/>
          <w:color w:val="auto"/>
          <w:kern w:val="0"/>
          <w:sz w:val="32"/>
          <w:szCs w:val="32"/>
          <w:highlight w:val="none"/>
          <w:lang w:val="en-US" w:eastAsia="zh-CN" w:bidi="ar"/>
        </w:rPr>
        <w:t>实施国家通用语言文字普及攻坚和质量提升行动，重点面向民族聚居区青壮年劳动力、基层干部和学龄前儿童，加大国家通用语言文字教育培训力度。将国家通用语言文字能力作为就业、公共服务的重要基础，在公共场所、服务窗口规范使用国家通用语言文字。尊重和保障各民族使用和发展自己的语言文字的自由，促进语言相通、心灵相通。</w:t>
      </w:r>
    </w:p>
    <w:p w14:paraId="7ECA68E4">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r>
        <w:rPr>
          <w:rFonts w:hint="eastAsia" w:ascii="仿宋_GB2312" w:hAnsi="仿宋_GB2312" w:eastAsia="仿宋_GB2312" w:cs="Times New Roman"/>
          <w:b/>
          <w:bCs/>
          <w:color w:val="auto"/>
          <w:kern w:val="0"/>
          <w:sz w:val="32"/>
          <w:szCs w:val="32"/>
          <w:highlight w:val="none"/>
          <w:lang w:val="en-US" w:eastAsia="zh-CN" w:bidi="ar"/>
        </w:rPr>
        <w:t>依法保障民族团结与社会和谐。</w:t>
      </w:r>
      <w:r>
        <w:rPr>
          <w:rFonts w:hint="eastAsia" w:ascii="仿宋_GB2312" w:hAnsi="仿宋_GB2312" w:eastAsia="仿宋_GB2312" w:cs="Times New Roman"/>
          <w:b w:val="0"/>
          <w:bCs w:val="0"/>
          <w:color w:val="auto"/>
          <w:kern w:val="0"/>
          <w:sz w:val="32"/>
          <w:szCs w:val="32"/>
          <w:highlight w:val="none"/>
          <w:lang w:val="en-US" w:eastAsia="zh-CN" w:bidi="ar"/>
        </w:rPr>
        <w:t>全面贯彻民族区域自治制度，依法保障各民族合法权益。健全民族事务治理体系，提升依法管理民族事务的能力和水平。完善涉及民族因素矛盾纠纷的预防和调处机制，坚持具体问题具体分析，依法妥善处理。加强民族团结进步法治宣传，引导各族群众自觉守法、遇事找法、解决问题靠法，维护平等团结互助和谐的社会主义民族关系。</w:t>
      </w:r>
    </w:p>
    <w:p w14:paraId="12E39B74">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bookmarkStart w:id="257" w:name="_Toc20779"/>
      <w:bookmarkStart w:id="258" w:name="_Toc1932"/>
    </w:p>
    <w:p w14:paraId="511E3574">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Arial" w:hAnsi="Arial" w:cs="Times New Roman"/>
          <w:color w:val="auto"/>
          <w:sz w:val="32"/>
          <w:szCs w:val="32"/>
          <w:highlight w:val="none"/>
          <w:lang w:val="en-US" w:eastAsia="zh-CN"/>
        </w:rPr>
      </w:pPr>
      <w:bookmarkStart w:id="259" w:name="_Toc12379"/>
      <w:bookmarkStart w:id="260" w:name="_Toc27874"/>
      <w:bookmarkStart w:id="261" w:name="_Toc14436"/>
      <w:bookmarkStart w:id="262" w:name="_Toc8899"/>
      <w:r>
        <w:rPr>
          <w:rFonts w:hint="eastAsia" w:cs="Times New Roman"/>
          <w:color w:val="auto"/>
          <w:sz w:val="32"/>
          <w:szCs w:val="32"/>
          <w:highlight w:val="none"/>
          <w:lang w:val="en-US" w:eastAsia="zh-CN"/>
        </w:rPr>
        <w:t xml:space="preserve">第十二章 </w:t>
      </w:r>
      <w:r>
        <w:rPr>
          <w:rFonts w:hint="eastAsia" w:eastAsia="黑体" w:asciiTheme="minorAscii" w:hAnsiTheme="minorAscii"/>
          <w:b w:val="0"/>
          <w:bCs w:val="0"/>
          <w:color w:val="auto"/>
          <w:sz w:val="32"/>
          <w:szCs w:val="32"/>
          <w:highlight w:val="none"/>
          <w:u w:val="none"/>
          <w:lang w:val="en-US" w:eastAsia="zh-CN"/>
        </w:rPr>
        <w:t>加大保障和改善民生力度</w:t>
      </w:r>
      <w:r>
        <w:rPr>
          <w:rFonts w:hint="default" w:ascii="Arial" w:hAnsi="Arial" w:cs="Times New Roman"/>
          <w:color w:val="auto"/>
          <w:sz w:val="32"/>
          <w:szCs w:val="32"/>
          <w:highlight w:val="none"/>
          <w:lang w:val="en-US" w:eastAsia="zh-CN"/>
        </w:rPr>
        <w:t>，增进人民福祉</w:t>
      </w:r>
      <w:bookmarkEnd w:id="257"/>
      <w:bookmarkEnd w:id="258"/>
      <w:bookmarkEnd w:id="259"/>
      <w:bookmarkEnd w:id="260"/>
      <w:bookmarkEnd w:id="261"/>
      <w:bookmarkEnd w:id="262"/>
    </w:p>
    <w:p w14:paraId="3B16A28E">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ascii="仿宋_GB2312" w:hAnsi="仿宋_GB2312" w:eastAsia="仿宋_GB2312" w:cs="仿宋_GB2312"/>
          <w:b w:val="0"/>
          <w:bCs w:val="0"/>
          <w:color w:val="auto"/>
          <w:sz w:val="32"/>
          <w:szCs w:val="32"/>
          <w:highlight w:val="none"/>
          <w:lang w:val="en-US" w:eastAsia="zh-CN"/>
        </w:rPr>
      </w:pPr>
      <w:bookmarkStart w:id="263" w:name="_Toc5809"/>
      <w:bookmarkStart w:id="264" w:name="_Toc27873"/>
      <w:bookmarkStart w:id="265" w:name="_Toc29003"/>
      <w:r>
        <w:rPr>
          <w:rFonts w:hint="eastAsia" w:ascii="仿宋_GB2312" w:hAnsi="仿宋_GB2312" w:eastAsia="仿宋_GB2312" w:cs="仿宋_GB2312"/>
          <w:b w:val="0"/>
          <w:bCs w:val="0"/>
          <w:color w:val="auto"/>
          <w:sz w:val="32"/>
          <w:szCs w:val="32"/>
          <w:highlight w:val="none"/>
          <w:lang w:val="en-US" w:eastAsia="zh-CN"/>
        </w:rPr>
        <w:t>坚持在发展中保障和改善民生，聚焦群众急难愁盼，扎实推进共同富裕。着力健全覆盖全民、贯穿全生命周期的基本公共服务体系，持续提升公共服务均衡性与可及性，扎实办好就业、教育、社保、医疗、养老、托育、住房等民生实事，让高质量发展成果更多更公平惠及全县各族人民，不断实现人民对美好生活的向往，持续增强人民群众的获得感、幸福感、安全感。</w:t>
      </w:r>
    </w:p>
    <w:p w14:paraId="5416B9A3">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s="Times New Roman"/>
          <w:b/>
          <w:bCs/>
          <w:color w:val="auto"/>
          <w:sz w:val="32"/>
          <w:szCs w:val="32"/>
          <w:highlight w:val="none"/>
          <w:lang w:val="en-US" w:eastAsia="zh-CN"/>
        </w:rPr>
      </w:pPr>
      <w:bookmarkStart w:id="266" w:name="_Toc4028"/>
      <w:bookmarkStart w:id="267" w:name="_Toc3413"/>
      <w:bookmarkStart w:id="268" w:name="_Toc27860"/>
      <w:r>
        <w:rPr>
          <w:rFonts w:hint="eastAsia" w:ascii="Arial" w:hAnsi="Arial" w:cs="Times New Roman"/>
          <w:b/>
          <w:bCs/>
          <w:color w:val="auto"/>
          <w:sz w:val="32"/>
          <w:szCs w:val="32"/>
          <w:highlight w:val="none"/>
          <w:lang w:val="en-US" w:eastAsia="zh-CN"/>
        </w:rPr>
        <w:t xml:space="preserve">第一节 </w:t>
      </w:r>
      <w:r>
        <w:rPr>
          <w:rFonts w:hint="eastAsia" w:ascii="楷体_GB2312" w:hAnsi="楷体_GB2312" w:eastAsia="楷体_GB2312" w:cs="楷体_GB2312"/>
          <w:b/>
          <w:bCs/>
          <w:color w:val="auto"/>
          <w:sz w:val="32"/>
          <w:szCs w:val="32"/>
          <w:highlight w:val="none"/>
          <w:u w:val="none"/>
          <w:lang w:val="en-US" w:eastAsia="zh-CN"/>
        </w:rPr>
        <w:t>促进高质量充分就业</w:t>
      </w:r>
      <w:r>
        <w:rPr>
          <w:rFonts w:hint="eastAsia" w:ascii="楷体_GB2312" w:hAnsi="楷体_GB2312" w:eastAsia="楷体_GB2312" w:cs="楷体_GB2312"/>
          <w:b/>
          <w:bCs/>
          <w:color w:val="auto"/>
          <w:sz w:val="32"/>
          <w:szCs w:val="32"/>
          <w:highlight w:val="none"/>
          <w:lang w:val="en-US" w:eastAsia="zh-CN"/>
        </w:rPr>
        <w:t>和多渠道增收</w:t>
      </w:r>
      <w:bookmarkEnd w:id="263"/>
      <w:bookmarkEnd w:id="264"/>
      <w:bookmarkEnd w:id="265"/>
      <w:bookmarkEnd w:id="266"/>
      <w:bookmarkEnd w:id="267"/>
      <w:bookmarkEnd w:id="268"/>
    </w:p>
    <w:p w14:paraId="342B6B63">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强化产业与就业协同联动。</w:t>
      </w:r>
      <w:r>
        <w:rPr>
          <w:rFonts w:hint="eastAsia" w:ascii="仿宋_GB2312" w:hAnsi="仿宋_GB2312" w:eastAsia="仿宋_GB2312" w:cs="Times New Roman"/>
          <w:b w:val="0"/>
          <w:bCs w:val="0"/>
          <w:color w:val="auto"/>
          <w:sz w:val="32"/>
          <w:szCs w:val="32"/>
          <w:highlight w:val="none"/>
          <w:lang w:val="en-US" w:eastAsia="zh-CN"/>
        </w:rPr>
        <w:t>坚持就业优先战略，将促进就业融入县域产业发展布局。重点围绕我县电子信息、现代生活用纸、新型建材、农产品及食品加工等主导产业，通过项目建设和企业扶持政策稳定和扩大岗位供给。同步加快发展低空经济、人工智能、非物质文化遗产文旅等新质生产力领域，培育技术型、技能型、创意型等多元就业增长点，实现产业发展与就业扩容良性互动。</w:t>
      </w:r>
    </w:p>
    <w:p w14:paraId="4C2A69F5">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抓好重点群体就业帮扶。</w:t>
      </w:r>
      <w:r>
        <w:rPr>
          <w:rFonts w:hint="eastAsia" w:ascii="仿宋_GB2312" w:hAnsi="仿宋_GB2312" w:eastAsia="仿宋_GB2312" w:cs="Times New Roman"/>
          <w:b w:val="0"/>
          <w:bCs w:val="0"/>
          <w:color w:val="auto"/>
          <w:sz w:val="32"/>
          <w:szCs w:val="32"/>
          <w:highlight w:val="none"/>
          <w:lang w:val="en-US" w:eastAsia="zh-CN"/>
        </w:rPr>
        <w:t>深入实施高校毕业生、农民工、退役军人等重点群体就业促进计划，健全“一人一策”帮扶机制。支持发展乡村电商、社区服务、零工经济等灵活就业与新就业形态，拓宽增收渠道。加大创业担保贷款、场地支持和创业培训力度，鼓励和支持在乡返乡人员在特色种养、农村电商、文旅融合等领域创新创业，有效增强创业带动就业的倍增效应。</w:t>
      </w:r>
    </w:p>
    <w:p w14:paraId="3D20F60E">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提升劳动者技能水平。</w:t>
      </w:r>
      <w:r>
        <w:rPr>
          <w:rFonts w:hint="eastAsia" w:ascii="仿宋_GB2312" w:hAnsi="仿宋_GB2312" w:eastAsia="仿宋_GB2312" w:cs="Times New Roman"/>
          <w:b w:val="0"/>
          <w:bCs w:val="0"/>
          <w:color w:val="auto"/>
          <w:sz w:val="32"/>
          <w:szCs w:val="32"/>
          <w:highlight w:val="none"/>
          <w:lang w:val="en-US" w:eastAsia="zh-CN"/>
        </w:rPr>
        <w:t>全面落实终身职业技能培训制度，紧密对接县域产业和企业用工需求。大规模开展“订单式”“定向式”职业技能培训，深入实施“技能照亮前程”专项行动。重点加强智能制造、数控技术、无人机操作、电子商务、康养服务、非遗技艺等市场急需、发展前景好的职业技能培训，增强劳动者的就业竞争力和岗位适配度。</w:t>
      </w:r>
    </w:p>
    <w:p w14:paraId="015B30C1">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健全公共就业服务体系。</w:t>
      </w:r>
      <w:r>
        <w:rPr>
          <w:rFonts w:hint="eastAsia" w:ascii="仿宋_GB2312" w:hAnsi="仿宋_GB2312" w:eastAsia="仿宋_GB2312" w:cs="Times New Roman"/>
          <w:b w:val="0"/>
          <w:bCs w:val="0"/>
          <w:color w:val="auto"/>
          <w:sz w:val="32"/>
          <w:szCs w:val="32"/>
          <w:highlight w:val="none"/>
          <w:lang w:val="en-US" w:eastAsia="zh-CN"/>
        </w:rPr>
        <w:t>建立健全覆盖城乡、标准统一的县、镇、村三级公共就业服务网络。高质量建设县级零工市场，并推动其服务功能向黎塘、古辣等重点乡镇延伸。持续推进“家门口”就业服务站等基层网点建设，提供就近便捷的政策咨询、岗位推送和职业指导服务。着力培育“宾阳五金工匠</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宾阳炮龙非遗传承人”等具有地方特色和竞争力的劳务品牌，提升劳务输出的组织化、专业化水平。</w:t>
      </w:r>
    </w:p>
    <w:p w14:paraId="3BC09D36">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加强劳动者权益保障。</w:t>
      </w:r>
      <w:r>
        <w:rPr>
          <w:rFonts w:hint="eastAsia" w:ascii="仿宋_GB2312" w:hAnsi="仿宋_GB2312" w:eastAsia="仿宋_GB2312" w:cs="Times New Roman"/>
          <w:b w:val="0"/>
          <w:bCs w:val="0"/>
          <w:color w:val="auto"/>
          <w:sz w:val="32"/>
          <w:szCs w:val="32"/>
          <w:highlight w:val="none"/>
          <w:lang w:val="en-US" w:eastAsia="zh-CN"/>
        </w:rPr>
        <w:t>全面贯彻劳动法律法规，加强劳动保障监察执法，重点规范新业态用工管理和农民工工资支付行为。健全劳动争议多元化解机制，畅通劳动者维权渠道。常态化开展根治欠薪等专项行动，营造公平有序、规范和谐的就业环境，切实保障劳动者合法权益，促进稳定就业和持续增收。</w:t>
      </w:r>
    </w:p>
    <w:p w14:paraId="1D03BF30">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69" w:name="_Toc32525"/>
      <w:bookmarkStart w:id="270" w:name="_Toc3331"/>
      <w:bookmarkStart w:id="271" w:name="_Toc2959"/>
      <w:bookmarkStart w:id="272" w:name="_Toc7723"/>
      <w:bookmarkStart w:id="273" w:name="_Toc9296"/>
      <w:bookmarkStart w:id="274" w:name="_Toc7326"/>
      <w:r>
        <w:rPr>
          <w:rFonts w:hint="eastAsia"/>
          <w:color w:val="auto"/>
          <w:highlight w:val="none"/>
          <w:lang w:val="en-US" w:eastAsia="zh-CN"/>
        </w:rPr>
        <w:t xml:space="preserve">第二节 </w:t>
      </w:r>
      <w:r>
        <w:rPr>
          <w:rFonts w:hint="eastAsia" w:ascii="楷体_GB2312" w:hAnsi="楷体_GB2312" w:eastAsia="楷体_GB2312" w:cs="楷体_GB2312"/>
          <w:b/>
          <w:bCs/>
          <w:color w:val="auto"/>
          <w:sz w:val="32"/>
          <w:szCs w:val="32"/>
          <w:highlight w:val="none"/>
          <w:u w:val="none"/>
          <w:lang w:val="en-US" w:eastAsia="zh-CN"/>
        </w:rPr>
        <w:t>办好人民满意的教育</w:t>
      </w:r>
      <w:bookmarkEnd w:id="269"/>
      <w:bookmarkEnd w:id="270"/>
      <w:bookmarkEnd w:id="271"/>
      <w:bookmarkEnd w:id="272"/>
      <w:bookmarkEnd w:id="273"/>
      <w:bookmarkEnd w:id="274"/>
    </w:p>
    <w:p w14:paraId="37441747">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构建高质量育人体系。</w:t>
      </w:r>
      <w:r>
        <w:rPr>
          <w:rFonts w:hint="eastAsia" w:ascii="仿宋_GB2312" w:hAnsi="仿宋_GB2312" w:eastAsia="仿宋_GB2312" w:cs="Times New Roman"/>
          <w:b w:val="0"/>
          <w:bCs w:val="0"/>
          <w:color w:val="auto"/>
          <w:sz w:val="32"/>
          <w:szCs w:val="32"/>
          <w:highlight w:val="none"/>
          <w:lang w:val="en-US" w:eastAsia="zh-CN"/>
        </w:rPr>
        <w:t>深入落实立德树人根本任务，构建德智体美劳全面培养的教育体系。将社会主义核心价值观教育融入教育教学全过程，促进思政课堂与社会实践有效结合。持续深化课堂教学改革，大力加强学校体育、美育和劳动教育，保障学生每天一小时校园体育活动，开足开齐艺术课程，建设一批校内外劳动实践基地，促进学生全面发展、健康成长。</w:t>
      </w:r>
    </w:p>
    <w:p w14:paraId="7762C668">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扩大优质教育资源供给。</w:t>
      </w:r>
      <w:r>
        <w:rPr>
          <w:rFonts w:hint="eastAsia" w:ascii="仿宋_GB2312" w:hAnsi="仿宋_GB2312" w:eastAsia="仿宋_GB2312" w:cs="Times New Roman"/>
          <w:b w:val="0"/>
          <w:bCs w:val="0"/>
          <w:color w:val="auto"/>
          <w:sz w:val="32"/>
          <w:szCs w:val="32"/>
          <w:highlight w:val="none"/>
          <w:lang w:val="en-US" w:eastAsia="zh-CN"/>
        </w:rPr>
        <w:t>优化城乡学校布局</w:t>
      </w:r>
      <w:r>
        <w:rPr>
          <w:rFonts w:hint="eastAsia" w:ascii="仿宋_GB2312" w:hAnsi="仿宋_GB2312" w:cs="Times New Roman"/>
          <w:b w:val="0"/>
          <w:bCs w:val="0"/>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重点扩大县城及黎塘、古辣等重点镇的教育资源供给，规划新建、改扩建一批幼儿园、中小学，有效增加学位，缓解城镇学位紧张问题。积极落实国家和自治区扩大免费教育相关政策，稳步提升教育公共服务水平。</w:t>
      </w:r>
    </w:p>
    <w:p w14:paraId="3064286C">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推进各级各类教育协调优质发展。</w:t>
      </w:r>
      <w:r>
        <w:rPr>
          <w:rFonts w:hint="eastAsia" w:ascii="仿宋_GB2312" w:hAnsi="仿宋_GB2312" w:eastAsia="仿宋_GB2312" w:cs="Times New Roman"/>
          <w:b w:val="0"/>
          <w:bCs w:val="0"/>
          <w:color w:val="auto"/>
          <w:sz w:val="32"/>
          <w:szCs w:val="32"/>
          <w:highlight w:val="none"/>
          <w:lang w:val="en-US" w:eastAsia="zh-CN"/>
        </w:rPr>
        <w:t>推进学前教育优质普惠发展，确保公办园在园幼儿占比达到</w:t>
      </w:r>
      <w:r>
        <w:rPr>
          <w:rFonts w:hint="eastAsia" w:ascii="仿宋_GB2312" w:hAnsi="仿宋_GB2312" w:cs="Times New Roman"/>
          <w:b w:val="0"/>
          <w:bCs w:val="0"/>
          <w:color w:val="auto"/>
          <w:sz w:val="32"/>
          <w:szCs w:val="32"/>
          <w:highlight w:val="none"/>
          <w:lang w:val="en-US" w:eastAsia="zh-CN"/>
        </w:rPr>
        <w:t>100%</w:t>
      </w:r>
      <w:r>
        <w:rPr>
          <w:rFonts w:hint="eastAsia" w:ascii="仿宋_GB2312" w:hAnsi="仿宋_GB2312" w:eastAsia="仿宋_GB2312" w:cs="Times New Roman"/>
          <w:b w:val="0"/>
          <w:bCs w:val="0"/>
          <w:color w:val="auto"/>
          <w:sz w:val="32"/>
          <w:szCs w:val="32"/>
          <w:highlight w:val="none"/>
          <w:lang w:val="en-US" w:eastAsia="zh-CN"/>
        </w:rPr>
        <w:t>。推进义务教育优质均衡发展，着力补齐乡村小规模学校和乡镇寄宿制学校短板。推进普通高中优质特色发展，深入实施“县域普通高中振兴计划”，支持宾阳中学打造全区一流教育品牌，推动开智中学、新宾中学等学校特色化发展。深化职业教育产教融合、校企合作，重点支持县职校围绕低空经济、智能制造等县域产业需求，建设无人机驾驶、新能源汽车维修等特色专业和实训基地。办好特殊教育，保障残疾儿童少年平等接受教育权利。</w:t>
      </w:r>
    </w:p>
    <w:p w14:paraId="0CB2DC3D">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cs="Times New Roman"/>
          <w:b/>
          <w:bCs/>
          <w:color w:val="auto"/>
          <w:sz w:val="32"/>
          <w:szCs w:val="32"/>
          <w:highlight w:val="none"/>
          <w:lang w:val="en-US" w:eastAsia="zh-CN"/>
        </w:rPr>
        <w:t>提升</w:t>
      </w:r>
      <w:r>
        <w:rPr>
          <w:rFonts w:hint="eastAsia" w:ascii="仿宋_GB2312" w:hAnsi="仿宋_GB2312" w:eastAsia="仿宋_GB2312" w:cs="Times New Roman"/>
          <w:b/>
          <w:bCs/>
          <w:color w:val="auto"/>
          <w:sz w:val="32"/>
          <w:szCs w:val="32"/>
          <w:highlight w:val="none"/>
          <w:lang w:val="en-US" w:eastAsia="zh-CN"/>
        </w:rPr>
        <w:t>教育数字化</w:t>
      </w:r>
      <w:r>
        <w:rPr>
          <w:rFonts w:hint="eastAsia" w:ascii="仿宋_GB2312" w:hAnsi="仿宋_GB2312" w:cs="Times New Roman"/>
          <w:b/>
          <w:bCs/>
          <w:color w:val="auto"/>
          <w:sz w:val="32"/>
          <w:szCs w:val="32"/>
          <w:highlight w:val="none"/>
          <w:lang w:val="en-US" w:eastAsia="zh-CN"/>
        </w:rPr>
        <w:t>与</w:t>
      </w:r>
      <w:r>
        <w:rPr>
          <w:rFonts w:hint="eastAsia" w:ascii="仿宋_GB2312" w:hAnsi="仿宋_GB2312" w:eastAsia="仿宋_GB2312" w:cs="Times New Roman"/>
          <w:b/>
          <w:bCs/>
          <w:color w:val="auto"/>
          <w:sz w:val="32"/>
          <w:szCs w:val="32"/>
          <w:highlight w:val="none"/>
          <w:lang w:val="en-US" w:eastAsia="zh-CN"/>
        </w:rPr>
        <w:t>教师队伍</w:t>
      </w:r>
      <w:r>
        <w:rPr>
          <w:rFonts w:hint="eastAsia" w:ascii="仿宋_GB2312" w:hAnsi="仿宋_GB2312" w:cs="Times New Roman"/>
          <w:b/>
          <w:bCs/>
          <w:color w:val="auto"/>
          <w:sz w:val="32"/>
          <w:szCs w:val="32"/>
          <w:highlight w:val="none"/>
          <w:lang w:val="en-US" w:eastAsia="zh-CN"/>
        </w:rPr>
        <w:t>水平</w:t>
      </w:r>
      <w:r>
        <w:rPr>
          <w:rFonts w:hint="eastAsia" w:ascii="仿宋_GB2312" w:hAnsi="仿宋_GB2312" w:eastAsia="仿宋_GB2312" w:cs="Times New Roman"/>
          <w:b/>
          <w:bCs/>
          <w:color w:val="auto"/>
          <w:sz w:val="32"/>
          <w:szCs w:val="32"/>
          <w:highlight w:val="none"/>
          <w:lang w:val="en-US" w:eastAsia="zh-CN"/>
        </w:rPr>
        <w:t>。</w:t>
      </w:r>
      <w:r>
        <w:rPr>
          <w:rFonts w:hint="eastAsia" w:ascii="仿宋_GB2312" w:hAnsi="仿宋_GB2312" w:eastAsia="仿宋_GB2312" w:cs="Times New Roman"/>
          <w:b w:val="0"/>
          <w:bCs w:val="0"/>
          <w:color w:val="auto"/>
          <w:sz w:val="32"/>
          <w:szCs w:val="32"/>
          <w:highlight w:val="none"/>
          <w:lang w:val="en-US" w:eastAsia="zh-CN"/>
        </w:rPr>
        <w:t>全面更新升级中小学多媒体教学设备，加快实现校园无线网络和高速教育专网全覆盖。全面落实《教育强国建设规划纲要（2024-2035年）》部署要求，坚持因地制宜、分类推进，全面加强中小学科技教育，打造宾阳“科教强县”品牌，服务国家创新驱动发展战略。推进人工智能等新兴技术通识教育进课堂，培养学生数字素养。大力弘扬和践行教育家精神，深入实施“名校长、名教师、名班主任”培养工程。健全中小学教师工资长效联动机制，强化待遇保障，营造尊师重教良好氛围，激发教师队伍活力。</w:t>
      </w:r>
    </w:p>
    <w:p w14:paraId="59557861">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建设学习型社会。</w:t>
      </w:r>
      <w:r>
        <w:rPr>
          <w:rFonts w:hint="eastAsia" w:ascii="仿宋_GB2312" w:hAnsi="仿宋_GB2312" w:eastAsia="仿宋_GB2312" w:cs="Times New Roman"/>
          <w:b w:val="0"/>
          <w:bCs w:val="0"/>
          <w:color w:val="auto"/>
          <w:sz w:val="32"/>
          <w:szCs w:val="32"/>
          <w:highlight w:val="none"/>
          <w:lang w:val="en-US" w:eastAsia="zh-CN"/>
        </w:rPr>
        <w:t>健全学校家庭社会协同育人机制，加强家长学校、社区家长课堂建设，引导家长树立科学育儿观念。依托县职校、乡镇成人文化技术学校等平台，面向社区居民、企业职工、新型职业农民等开展多样化、高质量的技能培训和继续教育，提高终身学习公共服务水平，服务全民终身学习。</w:t>
      </w:r>
    </w:p>
    <w:p w14:paraId="124CB2A2">
      <w:pPr>
        <w:spacing w:line="240" w:lineRule="auto"/>
        <w:ind w:firstLine="0" w:firstLineChars="0"/>
        <w:jc w:val="center"/>
        <w:rPr>
          <w:rFonts w:hint="eastAsia" w:ascii="黑体" w:hAnsi="黑体" w:eastAsia="黑体" w:cs="Times New Roman"/>
          <w:b/>
          <w:bCs/>
          <w:i w:val="0"/>
          <w:iCs w:val="0"/>
          <w:color w:val="auto"/>
          <w:kern w:val="0"/>
          <w:sz w:val="30"/>
          <w:szCs w:val="30"/>
          <w:highlight w:val="none"/>
          <w:u w:val="none"/>
          <w:lang w:val="en-US" w:eastAsia="zh-CN" w:bidi="ar"/>
        </w:rPr>
      </w:pPr>
      <w:r>
        <w:rPr>
          <w:rFonts w:hint="eastAsia" w:ascii="黑体" w:hAnsi="黑体" w:eastAsia="黑体" w:cs="Times New Roman"/>
          <w:b/>
          <w:bCs/>
          <w:i w:val="0"/>
          <w:iCs w:val="0"/>
          <w:color w:val="auto"/>
          <w:kern w:val="0"/>
          <w:sz w:val="30"/>
          <w:szCs w:val="30"/>
          <w:highlight w:val="none"/>
          <w:u w:val="none"/>
          <w:lang w:val="en-US" w:eastAsia="zh-CN" w:bidi="ar"/>
        </w:rPr>
        <w:t>专栏10 宾阳县“十五五”教育发展七大工程</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714"/>
        <w:gridCol w:w="5931"/>
      </w:tblGrid>
      <w:tr w14:paraId="2779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761AC3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序号</w:t>
            </w:r>
          </w:p>
        </w:tc>
        <w:tc>
          <w:tcPr>
            <w:tcW w:w="1714" w:type="dxa"/>
            <w:vAlign w:val="center"/>
          </w:tcPr>
          <w:p w14:paraId="75A400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工程名称</w:t>
            </w:r>
          </w:p>
        </w:tc>
        <w:tc>
          <w:tcPr>
            <w:tcW w:w="5931" w:type="dxa"/>
            <w:vAlign w:val="center"/>
          </w:tcPr>
          <w:p w14:paraId="23A969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主要建设内容</w:t>
            </w:r>
          </w:p>
        </w:tc>
      </w:tr>
      <w:tr w14:paraId="6A9CB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877" w:type="dxa"/>
            <w:vAlign w:val="center"/>
          </w:tcPr>
          <w:p w14:paraId="4998FE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1</w:t>
            </w:r>
          </w:p>
        </w:tc>
        <w:tc>
          <w:tcPr>
            <w:tcW w:w="1714" w:type="dxa"/>
            <w:vAlign w:val="center"/>
          </w:tcPr>
          <w:p w14:paraId="63038F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新时代立德树人工程</w:t>
            </w:r>
          </w:p>
        </w:tc>
        <w:tc>
          <w:tcPr>
            <w:tcW w:w="5931" w:type="dxa"/>
            <w:vAlign w:val="top"/>
          </w:tcPr>
          <w:p w14:paraId="7BD11E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推进思政课一体化建设，</w:t>
            </w:r>
            <w:r>
              <w:rPr>
                <w:rFonts w:hint="default" w:asciiTheme="minorEastAsia" w:hAnsiTheme="minorEastAsia" w:eastAsiaTheme="minorEastAsia" w:cstheme="minorEastAsia"/>
                <w:b w:val="0"/>
                <w:bCs w:val="0"/>
                <w:color w:val="auto"/>
                <w:sz w:val="24"/>
                <w:szCs w:val="24"/>
                <w:highlight w:val="none"/>
                <w:vertAlign w:val="baseline"/>
                <w:lang w:val="en-US" w:eastAsia="zh-CN"/>
              </w:rPr>
              <w:t>打造古辣镇中心学校、宾州镇中心学校等思政课建设示范校，芦圩完小、凤凰小学等德育示范校，新宾中学、宾州二小等清廉学校建设示范校</w:t>
            </w:r>
            <w:r>
              <w:rPr>
                <w:rFonts w:hint="eastAsia" w:asciiTheme="minorEastAsia" w:hAnsiTheme="minorEastAsia" w:eastAsiaTheme="minorEastAsia" w:cstheme="minorEastAsia"/>
                <w:b w:val="0"/>
                <w:bCs w:val="0"/>
                <w:color w:val="auto"/>
                <w:sz w:val="24"/>
                <w:szCs w:val="24"/>
                <w:highlight w:val="none"/>
                <w:vertAlign w:val="baseline"/>
                <w:lang w:val="en-US" w:eastAsia="zh-CN"/>
              </w:rPr>
              <w:t>，加强素质教育。</w:t>
            </w:r>
          </w:p>
        </w:tc>
      </w:tr>
      <w:tr w14:paraId="6C536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109907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2</w:t>
            </w:r>
          </w:p>
        </w:tc>
        <w:tc>
          <w:tcPr>
            <w:tcW w:w="1714" w:type="dxa"/>
            <w:vAlign w:val="center"/>
          </w:tcPr>
          <w:p w14:paraId="43CEA6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学前教育优质普惠工程</w:t>
            </w:r>
          </w:p>
        </w:tc>
        <w:tc>
          <w:tcPr>
            <w:tcW w:w="5931" w:type="dxa"/>
            <w:vAlign w:val="top"/>
          </w:tcPr>
          <w:p w14:paraId="61B918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推进公办园提质增量，加快县城龙腾幼儿园建设，新建思陇镇中心幼儿园等项目；按照国家部署逐步推进免费学前教育；支持有条件的幼儿园招收2至3岁幼儿；确保公办园占比达50%以上并逐年提高，力争2026年通过自治区督导评估。到2030年，学前三年毛入园率达到99%以上，普惠性幼儿园覆盖率达到95%以上，公办园在园幼儿占比达到55%以上。</w:t>
            </w:r>
          </w:p>
        </w:tc>
      </w:tr>
      <w:tr w14:paraId="1F7EB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7DCAA2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3</w:t>
            </w:r>
          </w:p>
        </w:tc>
        <w:tc>
          <w:tcPr>
            <w:tcW w:w="1714" w:type="dxa"/>
            <w:vAlign w:val="center"/>
          </w:tcPr>
          <w:p w14:paraId="1AEA9F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义务教育优质均衡工程</w:t>
            </w:r>
          </w:p>
        </w:tc>
        <w:tc>
          <w:tcPr>
            <w:tcW w:w="5931" w:type="dxa"/>
            <w:vAlign w:val="top"/>
          </w:tcPr>
          <w:p w14:paraId="16CD18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加快推进义务教育优质均衡发展，力争2026年通过自治区评估验收，2027年通过国家级评估认定；统筹规划城乡学校建设，新建宾阳中学初中部、开智中学初中部，扩建宾州一中、宾州三中等；到2030年义务教育巩固率达到99%以上。</w:t>
            </w:r>
          </w:p>
        </w:tc>
      </w:tr>
      <w:tr w14:paraId="32EC1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307161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4</w:t>
            </w:r>
          </w:p>
        </w:tc>
        <w:tc>
          <w:tcPr>
            <w:tcW w:w="1714" w:type="dxa"/>
            <w:vAlign w:val="center"/>
          </w:tcPr>
          <w:p w14:paraId="596E72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高品质高中建设工程</w:t>
            </w:r>
          </w:p>
        </w:tc>
        <w:tc>
          <w:tcPr>
            <w:tcW w:w="5931" w:type="dxa"/>
            <w:vAlign w:val="top"/>
          </w:tcPr>
          <w:p w14:paraId="257B8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以国家县域普通高中振兴计划为契机，实施宾阳中学科创大楼和教学综合楼、宾阳高中教学综合楼和学生宿舍楼、开智中学教学综合楼等新建扩建项目；建设智慧校园、智慧教室；加强结对共建，支持宾阳中学、宾阳高中创建综合类高品质高中，开智中学创建办学水平提升类高品质高中，新宾中学和新桥中学创建艺体类高品质高中。</w:t>
            </w:r>
          </w:p>
        </w:tc>
      </w:tr>
      <w:tr w14:paraId="5F183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0A3957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5</w:t>
            </w:r>
          </w:p>
        </w:tc>
        <w:tc>
          <w:tcPr>
            <w:tcW w:w="1714" w:type="dxa"/>
            <w:vAlign w:val="center"/>
          </w:tcPr>
          <w:p w14:paraId="45D8D2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职业教育能力提升工程</w:t>
            </w:r>
          </w:p>
        </w:tc>
        <w:tc>
          <w:tcPr>
            <w:tcW w:w="5931" w:type="dxa"/>
            <w:vAlign w:val="top"/>
          </w:tcPr>
          <w:p w14:paraId="29FEFE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推进县职校与广西交通职业技术学院合作，建立无人机驾驶培训基地、新能源汽车实训基地，开设无人机驾驶、机器人焊接技术等培训；建好综合高中，到2027年规模达到24个教学班1320人；支持县职校创建自治区示范性专业发展研究基地、示范特色专业及实训基地，争创自治区更高星级中等职业学校。</w:t>
            </w:r>
          </w:p>
        </w:tc>
      </w:tr>
      <w:tr w14:paraId="2FBD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6BFD58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6</w:t>
            </w:r>
          </w:p>
        </w:tc>
        <w:tc>
          <w:tcPr>
            <w:tcW w:w="1714" w:type="dxa"/>
            <w:vAlign w:val="center"/>
          </w:tcPr>
          <w:p w14:paraId="55A376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教育信息化发展工程</w:t>
            </w:r>
          </w:p>
        </w:tc>
        <w:tc>
          <w:tcPr>
            <w:tcW w:w="5931" w:type="dxa"/>
            <w:vAlign w:val="top"/>
          </w:tcPr>
          <w:p w14:paraId="28603C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实施中小学多媒体教学设备及师生用计算机更新项目，确保多媒体教室班级覆盖率100%；实施教学装备升级项目，按新标准配备物理、化学、生物学、地理、音乐、美术、数学、体育等学科设备；推进人工智能进校园，打造宾阳中学、民族中学、芦圩完小等人工智能试点学校；加强教师数字素养与技能培训。</w:t>
            </w:r>
          </w:p>
        </w:tc>
      </w:tr>
      <w:tr w14:paraId="3B551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14:paraId="668A66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7</w:t>
            </w:r>
          </w:p>
        </w:tc>
        <w:tc>
          <w:tcPr>
            <w:tcW w:w="1714" w:type="dxa"/>
            <w:vAlign w:val="center"/>
          </w:tcPr>
          <w:p w14:paraId="3B4630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教育家精神铸魂强师工程</w:t>
            </w:r>
          </w:p>
        </w:tc>
        <w:tc>
          <w:tcPr>
            <w:tcW w:w="5931" w:type="dxa"/>
            <w:vAlign w:val="top"/>
          </w:tcPr>
          <w:p w14:paraId="65692C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推动教育家精神融入教师培养培训全过程；坚持师德师风第一标准，健全长效机制，严格落实师德失范“零容忍”；实施名优校长培养计划，大力实施“三名工程”，分梯队、有层次地培养教育人才；加强义务教育班主任队伍建设；推进中小学教师“县管校聘”改革，优化教师资源配置，促进交流轮岗。</w:t>
            </w:r>
          </w:p>
        </w:tc>
      </w:tr>
    </w:tbl>
    <w:p w14:paraId="5FF8B890">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p>
    <w:p w14:paraId="3E5116E8">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ascii="仿宋_GB2312" w:hAnsi="仿宋_GB2312" w:eastAsia="仿宋_GB2312" w:cs="Times New Roman"/>
          <w:b/>
          <w:bCs/>
          <w:color w:val="auto"/>
          <w:sz w:val="32"/>
          <w:szCs w:val="32"/>
          <w:highlight w:val="none"/>
          <w:lang w:val="en-US" w:eastAsia="zh-CN"/>
        </w:rPr>
      </w:pPr>
      <w:bookmarkStart w:id="275" w:name="_Toc8843"/>
      <w:bookmarkStart w:id="276" w:name="_Toc22915"/>
      <w:bookmarkStart w:id="277" w:name="_Toc9766"/>
      <w:bookmarkStart w:id="278" w:name="_Toc7620"/>
      <w:bookmarkStart w:id="279" w:name="_Toc1257"/>
      <w:bookmarkStart w:id="280" w:name="_Toc18455"/>
      <w:r>
        <w:rPr>
          <w:rFonts w:hint="eastAsia" w:ascii="仿宋_GB2312" w:hAnsi="仿宋_GB2312" w:cs="Times New Roman"/>
          <w:b/>
          <w:bCs/>
          <w:color w:val="auto"/>
          <w:sz w:val="32"/>
          <w:szCs w:val="32"/>
          <w:highlight w:val="none"/>
          <w:lang w:val="en-US" w:eastAsia="zh-CN"/>
        </w:rPr>
        <w:t>第三节</w:t>
      </w:r>
      <w:r>
        <w:rPr>
          <w:rFonts w:hint="eastAsia" w:ascii="仿宋_GB2312" w:hAnsi="仿宋_GB2312" w:cs="Times New Roman"/>
          <w:b w:val="0"/>
          <w:bCs w:val="0"/>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健全社会保障体系</w:t>
      </w:r>
      <w:bookmarkEnd w:id="275"/>
      <w:bookmarkEnd w:id="276"/>
      <w:bookmarkEnd w:id="277"/>
      <w:bookmarkEnd w:id="278"/>
      <w:bookmarkEnd w:id="279"/>
      <w:bookmarkEnd w:id="280"/>
    </w:p>
    <w:p w14:paraId="7930888F">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完善多层次养老保险体系。</w:t>
      </w:r>
      <w:r>
        <w:rPr>
          <w:rFonts w:hint="eastAsia" w:ascii="仿宋_GB2312" w:hAnsi="仿宋_GB2312" w:eastAsia="仿宋_GB2312" w:cs="Times New Roman"/>
          <w:b w:val="0"/>
          <w:bCs w:val="0"/>
          <w:color w:val="auto"/>
          <w:sz w:val="32"/>
          <w:szCs w:val="32"/>
          <w:highlight w:val="none"/>
          <w:lang w:val="en-US" w:eastAsia="zh-CN"/>
        </w:rPr>
        <w:t>持续推进全民参保计划，实施高质量参保扩面行动，重点提高灵活就业人员、农民工、新就业形态劳动者参保率。落实基本养老保险全国统筹要求，健全城乡居民基本养老保险制度，稳步提高基础养老金水平。支持企业年金、职业年金发展，做好个人养老金政策宣传与服务衔接，构建覆盖广泛、层次多元的养老保险体系。</w:t>
      </w:r>
    </w:p>
    <w:p w14:paraId="3B18A35E">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深化医疗保障制度改革。</w:t>
      </w:r>
      <w:r>
        <w:rPr>
          <w:rFonts w:hint="eastAsia" w:ascii="仿宋_GB2312" w:hAnsi="仿宋_GB2312" w:eastAsia="仿宋_GB2312" w:cs="Times New Roman"/>
          <w:b w:val="0"/>
          <w:bCs w:val="0"/>
          <w:color w:val="auto"/>
          <w:sz w:val="32"/>
          <w:szCs w:val="32"/>
          <w:highlight w:val="none"/>
          <w:lang w:val="en-US" w:eastAsia="zh-CN"/>
        </w:rPr>
        <w:t>推进基本医疗保险提质增效，健全参保缴费长效管理机制。优化医保支付方式，加强医保基金智能监管与安全管理。推动工伤保险跨省及区内异地就医直接结算，稳步扩大失业、工伤保险覆盖面。落实失业、工伤保险自治区级统筹政策，探索完善符合新就业形态特点的职业伤害保障机制。</w:t>
      </w:r>
    </w:p>
    <w:p w14:paraId="46BEB57E">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健全精准高效社会救助体系。</w:t>
      </w:r>
      <w:r>
        <w:rPr>
          <w:rFonts w:hint="eastAsia" w:ascii="仿宋_GB2312" w:hAnsi="仿宋_GB2312" w:eastAsia="仿宋_GB2312" w:cs="Times New Roman"/>
          <w:b w:val="0"/>
          <w:bCs w:val="0"/>
          <w:color w:val="auto"/>
          <w:sz w:val="32"/>
          <w:szCs w:val="32"/>
          <w:highlight w:val="none"/>
          <w:lang w:val="en-US" w:eastAsia="zh-CN"/>
        </w:rPr>
        <w:t>完善以基本生活救助、专项社会救助、急难社会救助为主体，社会力量参与为补充的分层分类救助体系。加强对“一老一小”、残疾人、困难群众等重点群体的精准识别与兜底保障。健全空巢老人、困境儿童、残疾人服务保障网络。稳步推进城乡公益性公墓建设，建立健全基本殡葬服务制度。切实保障妇女儿童合法权益，加强退役军人服务保障。</w:t>
      </w:r>
    </w:p>
    <w:p w14:paraId="01993614">
      <w:pPr>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Times New Roman"/>
          <w:b/>
          <w:bCs/>
          <w:color w:val="auto"/>
          <w:sz w:val="32"/>
          <w:szCs w:val="32"/>
          <w:highlight w:val="none"/>
          <w:lang w:val="en-US" w:eastAsia="zh-CN"/>
        </w:rPr>
        <w:t>提升社会保障管理服务水平。</w:t>
      </w:r>
      <w:r>
        <w:rPr>
          <w:rFonts w:hint="eastAsia" w:ascii="仿宋_GB2312" w:hAnsi="仿宋_GB2312" w:eastAsia="仿宋_GB2312" w:cs="Times New Roman"/>
          <w:b w:val="0"/>
          <w:bCs w:val="0"/>
          <w:color w:val="auto"/>
          <w:sz w:val="32"/>
          <w:szCs w:val="32"/>
          <w:highlight w:val="none"/>
          <w:lang w:val="en-US" w:eastAsia="zh-CN"/>
        </w:rPr>
        <w:t>推进“人工智能+人社”应用，加快社会保障卡居民服务“一卡通”建设，推动社保关系便捷转移接续。加强社保基金安全监管与保值增值运营。推动基本公共服务资源向基层下沉、均衡布局，健全与常住人口相匹配的公共资源配置机制。稳步实施渐进式延迟法定退休年龄改革，平稳推进事业单位改革相关任务，为完善社会保障体系提供体制机制保障。</w:t>
      </w:r>
    </w:p>
    <w:p w14:paraId="07C4BC8A">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81" w:name="_Toc32180"/>
      <w:bookmarkStart w:id="282" w:name="_Toc7840"/>
      <w:bookmarkStart w:id="283" w:name="_Toc22392"/>
      <w:bookmarkStart w:id="284" w:name="_Toc11013"/>
      <w:bookmarkStart w:id="285" w:name="_Toc4659"/>
      <w:bookmarkStart w:id="286" w:name="_Toc7222"/>
      <w:r>
        <w:rPr>
          <w:rFonts w:hint="eastAsia"/>
          <w:color w:val="auto"/>
          <w:highlight w:val="none"/>
          <w:lang w:val="en-US" w:eastAsia="zh-CN"/>
        </w:rPr>
        <w:t xml:space="preserve">第四节 </w:t>
      </w:r>
      <w:r>
        <w:rPr>
          <w:rFonts w:hint="eastAsia" w:ascii="楷体_GB2312" w:hAnsi="楷体_GB2312" w:eastAsia="楷体_GB2312" w:cs="楷体_GB2312"/>
          <w:b/>
          <w:bCs/>
          <w:color w:val="auto"/>
          <w:sz w:val="32"/>
          <w:szCs w:val="32"/>
          <w:highlight w:val="none"/>
          <w:u w:val="none"/>
          <w:lang w:val="en-US" w:eastAsia="zh-CN"/>
        </w:rPr>
        <w:t>提升全民健康水平</w:t>
      </w:r>
      <w:bookmarkEnd w:id="281"/>
      <w:bookmarkEnd w:id="282"/>
      <w:bookmarkEnd w:id="283"/>
      <w:bookmarkEnd w:id="284"/>
      <w:bookmarkEnd w:id="285"/>
      <w:bookmarkEnd w:id="286"/>
    </w:p>
    <w:p w14:paraId="3E646602">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健全现代化公共卫生体系。</w:t>
      </w:r>
      <w:r>
        <w:rPr>
          <w:rFonts w:hint="default" w:ascii="仿宋_GB2312" w:hAnsi="仿宋_GB2312" w:eastAsia="仿宋_GB2312" w:cs="Times New Roman"/>
          <w:b w:val="0"/>
          <w:bCs w:val="0"/>
          <w:color w:val="auto"/>
          <w:kern w:val="0"/>
          <w:sz w:val="32"/>
          <w:szCs w:val="32"/>
          <w:highlight w:val="none"/>
          <w:lang w:val="en-US" w:eastAsia="zh-CN" w:bidi="ar"/>
        </w:rPr>
        <w:t>坚持预防为主，推动卫生健康工作重心从“以治病为中心”向“以人民健康为中心”转变。加强慢性病综合防控示范区建设，强化疾控机构能力建设，完善传染病监测预警和应急响应机制。促进医疗、医保、医药协同发展和治理，建立健全医保基金监管长效机制，引导医疗资源合理配置和有效利用。</w:t>
      </w:r>
    </w:p>
    <w:p w14:paraId="5015691B">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深化</w:t>
      </w:r>
      <w:r>
        <w:rPr>
          <w:rFonts w:hint="eastAsia" w:ascii="仿宋_GB2312" w:hAnsi="仿宋_GB2312" w:cs="Times New Roman"/>
          <w:b/>
          <w:bCs/>
          <w:color w:val="auto"/>
          <w:kern w:val="0"/>
          <w:sz w:val="32"/>
          <w:szCs w:val="32"/>
          <w:highlight w:val="none"/>
          <w:lang w:val="en-US" w:eastAsia="zh-CN" w:bidi="ar"/>
        </w:rPr>
        <w:t>医药</w:t>
      </w:r>
      <w:r>
        <w:rPr>
          <w:rFonts w:hint="default" w:ascii="仿宋_GB2312" w:hAnsi="仿宋_GB2312" w:eastAsia="仿宋_GB2312" w:cs="Times New Roman"/>
          <w:b/>
          <w:bCs/>
          <w:color w:val="auto"/>
          <w:kern w:val="0"/>
          <w:sz w:val="32"/>
          <w:szCs w:val="32"/>
          <w:highlight w:val="none"/>
          <w:lang w:val="en-US" w:eastAsia="zh-CN" w:bidi="ar"/>
        </w:rPr>
        <w:t>卫生</w:t>
      </w:r>
      <w:r>
        <w:rPr>
          <w:rFonts w:hint="eastAsia" w:ascii="仿宋_GB2312" w:hAnsi="仿宋_GB2312" w:cs="Times New Roman"/>
          <w:b/>
          <w:bCs/>
          <w:color w:val="auto"/>
          <w:kern w:val="0"/>
          <w:sz w:val="32"/>
          <w:szCs w:val="32"/>
          <w:highlight w:val="none"/>
          <w:lang w:val="en-US" w:eastAsia="zh-CN" w:bidi="ar"/>
        </w:rPr>
        <w:t>体制</w:t>
      </w:r>
      <w:r>
        <w:rPr>
          <w:rFonts w:hint="default" w:ascii="仿宋_GB2312" w:hAnsi="仿宋_GB2312" w:eastAsia="仿宋_GB2312" w:cs="Times New Roman"/>
          <w:b/>
          <w:bCs/>
          <w:color w:val="auto"/>
          <w:kern w:val="0"/>
          <w:sz w:val="32"/>
          <w:szCs w:val="32"/>
          <w:highlight w:val="none"/>
          <w:lang w:val="en-US" w:eastAsia="zh-CN" w:bidi="ar"/>
        </w:rPr>
        <w:t>改革。</w:t>
      </w:r>
      <w:r>
        <w:rPr>
          <w:rFonts w:hint="default" w:ascii="仿宋_GB2312" w:hAnsi="仿宋_GB2312" w:eastAsia="仿宋_GB2312" w:cs="Times New Roman"/>
          <w:b w:val="0"/>
          <w:bCs w:val="0"/>
          <w:color w:val="auto"/>
          <w:kern w:val="0"/>
          <w:sz w:val="32"/>
          <w:szCs w:val="32"/>
          <w:highlight w:val="none"/>
          <w:lang w:val="en-US" w:eastAsia="zh-CN" w:bidi="ar"/>
        </w:rPr>
        <w:t>全面推进紧密型县域医共体建设，建立以</w:t>
      </w:r>
      <w:r>
        <w:rPr>
          <w:rFonts w:hint="eastAsia" w:ascii="仿宋_GB2312" w:hAnsi="仿宋_GB2312" w:cs="Times New Roman"/>
          <w:b w:val="0"/>
          <w:bCs w:val="0"/>
          <w:color w:val="auto"/>
          <w:kern w:val="0"/>
          <w:sz w:val="32"/>
          <w:szCs w:val="32"/>
          <w:highlight w:val="none"/>
          <w:lang w:val="en-US" w:eastAsia="zh-CN" w:bidi="ar"/>
        </w:rPr>
        <w:t>县级</w:t>
      </w:r>
      <w:r>
        <w:rPr>
          <w:rFonts w:hint="default" w:ascii="仿宋_GB2312" w:hAnsi="仿宋_GB2312" w:eastAsia="仿宋_GB2312" w:cs="Times New Roman"/>
          <w:b w:val="0"/>
          <w:bCs w:val="0"/>
          <w:color w:val="auto"/>
          <w:kern w:val="0"/>
          <w:sz w:val="32"/>
          <w:szCs w:val="32"/>
          <w:highlight w:val="none"/>
          <w:lang w:val="en-US" w:eastAsia="zh-CN" w:bidi="ar"/>
        </w:rPr>
        <w:t>医院为龙头、乡镇卫生院为枢纽、村卫生室为基础的整合型医疗卫生服务体系。</w:t>
      </w:r>
      <w:r>
        <w:rPr>
          <w:rFonts w:hint="eastAsia" w:ascii="仿宋_GB2312" w:hAnsi="仿宋_GB2312" w:cs="Times New Roman"/>
          <w:b w:val="0"/>
          <w:bCs w:val="0"/>
          <w:color w:val="auto"/>
          <w:kern w:val="0"/>
          <w:sz w:val="32"/>
          <w:szCs w:val="32"/>
          <w:highlight w:val="none"/>
          <w:lang w:val="en-US" w:eastAsia="zh-CN" w:bidi="ar"/>
        </w:rPr>
        <w:t>支持</w:t>
      </w:r>
      <w:r>
        <w:rPr>
          <w:rFonts w:hint="default" w:ascii="仿宋_GB2312" w:hAnsi="仿宋_GB2312" w:eastAsia="仿宋_GB2312" w:cs="Times New Roman"/>
          <w:b w:val="0"/>
          <w:bCs w:val="0"/>
          <w:color w:val="auto"/>
          <w:kern w:val="0"/>
          <w:sz w:val="32"/>
          <w:szCs w:val="32"/>
          <w:highlight w:val="none"/>
          <w:lang w:val="en-US" w:eastAsia="zh-CN" w:bidi="ar"/>
        </w:rPr>
        <w:t>县人民医院创建三级甲等综合医院，提升急危重症救治能力。在宾州镇、黎塘镇等人口聚集密度大的区域，选择实力较强的卫生院提升为公立二级医院，填补县内公立二级医院空缺。优化县域医疗资源布局，支持县中医医院提升中医特色专科服务能力，推动</w:t>
      </w:r>
      <w:r>
        <w:rPr>
          <w:rFonts w:hint="eastAsia" w:ascii="仿宋_GB2312" w:hAnsi="仿宋_GB2312" w:cs="Times New Roman"/>
          <w:b w:val="0"/>
          <w:bCs w:val="0"/>
          <w:color w:val="auto"/>
          <w:kern w:val="0"/>
          <w:sz w:val="32"/>
          <w:szCs w:val="32"/>
          <w:highlight w:val="none"/>
          <w:lang w:val="en-US" w:eastAsia="zh-CN" w:bidi="ar"/>
        </w:rPr>
        <w:t>县域内各医疗机构</w:t>
      </w:r>
      <w:r>
        <w:rPr>
          <w:rFonts w:hint="default" w:ascii="仿宋_GB2312" w:hAnsi="仿宋_GB2312" w:eastAsia="仿宋_GB2312" w:cs="Times New Roman"/>
          <w:b w:val="0"/>
          <w:bCs w:val="0"/>
          <w:color w:val="auto"/>
          <w:kern w:val="0"/>
          <w:sz w:val="32"/>
          <w:szCs w:val="32"/>
          <w:highlight w:val="none"/>
          <w:lang w:val="en-US" w:eastAsia="zh-CN" w:bidi="ar"/>
        </w:rPr>
        <w:t>探索融合发展，形成优势互补、资源共享的</w:t>
      </w:r>
      <w:r>
        <w:rPr>
          <w:rFonts w:hint="eastAsia" w:ascii="仿宋_GB2312" w:hAnsi="仿宋_GB2312" w:cs="Times New Roman"/>
          <w:b w:val="0"/>
          <w:bCs w:val="0"/>
          <w:color w:val="auto"/>
          <w:kern w:val="0"/>
          <w:sz w:val="32"/>
          <w:szCs w:val="32"/>
          <w:highlight w:val="none"/>
          <w:lang w:val="en-US" w:eastAsia="zh-CN" w:bidi="ar"/>
        </w:rPr>
        <w:t>差异化</w:t>
      </w:r>
      <w:r>
        <w:rPr>
          <w:rFonts w:hint="default" w:ascii="仿宋_GB2312" w:hAnsi="仿宋_GB2312" w:eastAsia="仿宋_GB2312" w:cs="Times New Roman"/>
          <w:b w:val="0"/>
          <w:bCs w:val="0"/>
          <w:color w:val="auto"/>
          <w:kern w:val="0"/>
          <w:sz w:val="32"/>
          <w:szCs w:val="32"/>
          <w:highlight w:val="none"/>
          <w:lang w:val="en-US" w:eastAsia="zh-CN" w:bidi="ar"/>
        </w:rPr>
        <w:t>发展格局。完善分级诊疗制度，促进有序就医。促进医疗、医保、医药协同发展和治理，建立健全医保基金监管长效机制，引导医疗资源合理配置和有效利用。</w:t>
      </w:r>
    </w:p>
    <w:p w14:paraId="3BF1B02C">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提升医疗卫生服务数智化水平。</w:t>
      </w:r>
      <w:r>
        <w:rPr>
          <w:rFonts w:hint="default" w:ascii="仿宋_GB2312" w:hAnsi="仿宋_GB2312" w:eastAsia="仿宋_GB2312" w:cs="Times New Roman"/>
          <w:b w:val="0"/>
          <w:bCs w:val="0"/>
          <w:color w:val="auto"/>
          <w:kern w:val="0"/>
          <w:sz w:val="32"/>
          <w:szCs w:val="32"/>
          <w:highlight w:val="none"/>
          <w:lang w:val="en-US" w:eastAsia="zh-CN" w:bidi="ar"/>
        </w:rPr>
        <w:t>推进全民健康数智化建设，加快县域卫生健康信息平台互联互通，推动电子健康档案和电子病历信息共享。推广远程医疗、智慧医院等服务模式，开展“互联网+医疗健康”便民惠民服务，提升医疗服务可及性和便捷性。</w:t>
      </w:r>
    </w:p>
    <w:p w14:paraId="290B8B61">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促进中医药传承创新与心理健康服务。</w:t>
      </w:r>
      <w:r>
        <w:rPr>
          <w:rFonts w:hint="default" w:ascii="仿宋_GB2312" w:hAnsi="仿宋_GB2312" w:eastAsia="仿宋_GB2312" w:cs="Times New Roman"/>
          <w:b w:val="0"/>
          <w:bCs w:val="0"/>
          <w:color w:val="auto"/>
          <w:kern w:val="0"/>
          <w:sz w:val="32"/>
          <w:szCs w:val="32"/>
          <w:highlight w:val="none"/>
          <w:lang w:val="en-US" w:eastAsia="zh-CN" w:bidi="ar"/>
        </w:rPr>
        <w:t>加强中医药服务体系建设，支持县中医医院建设重点中医专科，推广中医药适宜技术。大力发展中西医结合服务，提升综合诊疗水平。完善心理健康和精神卫生服务体系，加强心理健康知识科普宣传，强化严重精神障碍患者管理、治疗和社区康复服务。</w:t>
      </w:r>
    </w:p>
    <w:p w14:paraId="2A8B5D91">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全面改善健康环境与生活方式。</w:t>
      </w:r>
      <w:r>
        <w:rPr>
          <w:rFonts w:hint="default" w:ascii="仿宋_GB2312" w:hAnsi="仿宋_GB2312" w:eastAsia="仿宋_GB2312" w:cs="Times New Roman"/>
          <w:b w:val="0"/>
          <w:bCs w:val="0"/>
          <w:color w:val="auto"/>
          <w:kern w:val="0"/>
          <w:sz w:val="32"/>
          <w:szCs w:val="32"/>
          <w:highlight w:val="none"/>
          <w:lang w:val="en-US" w:eastAsia="zh-CN" w:bidi="ar"/>
        </w:rPr>
        <w:t>深入开展爱国卫生运动。加强健康教育和健康促进，引导群众形成健康生活方式。强化食品安全、饮用水安全保障，改善城乡人居环境，为全民健康提供良好生态和社会环境。</w:t>
      </w:r>
    </w:p>
    <w:p w14:paraId="3374FF99">
      <w:pPr>
        <w:spacing w:line="240" w:lineRule="auto"/>
        <w:ind w:firstLine="0" w:firstLineChars="0"/>
        <w:jc w:val="center"/>
        <w:rPr>
          <w:rFonts w:hint="eastAsia" w:ascii="黑体" w:hAnsi="黑体" w:eastAsia="黑体" w:cs="Times New Roman"/>
          <w:b/>
          <w:bCs/>
          <w:color w:val="auto"/>
          <w:kern w:val="0"/>
          <w:sz w:val="30"/>
          <w:szCs w:val="30"/>
          <w:highlight w:val="none"/>
          <w:u w:val="none"/>
          <w:lang w:val="en-US" w:eastAsia="zh-CN" w:bidi="ar"/>
        </w:rPr>
      </w:pPr>
      <w:r>
        <w:rPr>
          <w:rFonts w:hint="eastAsia" w:ascii="黑体" w:hAnsi="黑体" w:eastAsia="黑体" w:cs="Times New Roman"/>
          <w:b/>
          <w:bCs/>
          <w:i w:val="0"/>
          <w:iCs w:val="0"/>
          <w:color w:val="auto"/>
          <w:kern w:val="0"/>
          <w:sz w:val="30"/>
          <w:szCs w:val="30"/>
          <w:highlight w:val="none"/>
          <w:u w:val="none"/>
          <w:lang w:val="en-US" w:eastAsia="zh-CN" w:bidi="ar"/>
        </w:rPr>
        <w:t>专栏11 宾阳县“十五五”卫生健康重大工程项目</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1564"/>
        <w:gridCol w:w="6268"/>
      </w:tblGrid>
      <w:tr w14:paraId="1564C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6BAE9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序号</w:t>
            </w:r>
          </w:p>
        </w:tc>
        <w:tc>
          <w:tcPr>
            <w:tcW w:w="1650" w:type="dxa"/>
            <w:vAlign w:val="center"/>
          </w:tcPr>
          <w:p w14:paraId="1D2915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项目名称</w:t>
            </w:r>
          </w:p>
        </w:tc>
        <w:tc>
          <w:tcPr>
            <w:tcW w:w="6702" w:type="dxa"/>
            <w:vAlign w:val="center"/>
          </w:tcPr>
          <w:p w14:paraId="168B4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bCs/>
                <w:color w:val="auto"/>
                <w:sz w:val="24"/>
                <w:szCs w:val="24"/>
                <w:highlight w:val="none"/>
                <w:vertAlign w:val="baseline"/>
                <w:lang w:val="en-US" w:eastAsia="zh-CN"/>
              </w:rPr>
            </w:pPr>
            <w:r>
              <w:rPr>
                <w:rFonts w:hint="eastAsia" w:asciiTheme="minorEastAsia" w:hAnsiTheme="minorEastAsia" w:eastAsiaTheme="minorEastAsia" w:cstheme="minorEastAsia"/>
                <w:b/>
                <w:bCs/>
                <w:color w:val="auto"/>
                <w:sz w:val="24"/>
                <w:szCs w:val="24"/>
                <w:highlight w:val="none"/>
                <w:vertAlign w:val="baseline"/>
                <w:lang w:val="en-US" w:eastAsia="zh-CN"/>
              </w:rPr>
              <w:t>主要建设内容</w:t>
            </w:r>
          </w:p>
        </w:tc>
      </w:tr>
      <w:tr w14:paraId="164A3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7A4E0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1</w:t>
            </w:r>
          </w:p>
        </w:tc>
        <w:tc>
          <w:tcPr>
            <w:tcW w:w="1650" w:type="dxa"/>
            <w:vAlign w:val="center"/>
          </w:tcPr>
          <w:p w14:paraId="12A33C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紧密型县域医共体信息化建设项目</w:t>
            </w:r>
          </w:p>
        </w:tc>
        <w:tc>
          <w:tcPr>
            <w:tcW w:w="6702" w:type="dxa"/>
            <w:vAlign w:val="center"/>
          </w:tcPr>
          <w:p w14:paraId="60AFCC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建设县级医疗信息中心，集成影像、心电、检验、远程会诊等多业务数据平台；贯通全县4家公立医院、19家镇卫生院、193家村卫生室核心系统；实现全县医疗卫生数据统一存储、共享与业务协同。</w:t>
            </w:r>
          </w:p>
        </w:tc>
      </w:tr>
      <w:tr w14:paraId="7275B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77528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2</w:t>
            </w:r>
          </w:p>
        </w:tc>
        <w:tc>
          <w:tcPr>
            <w:tcW w:w="1650" w:type="dxa"/>
            <w:vAlign w:val="center"/>
          </w:tcPr>
          <w:p w14:paraId="3E4D8B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托育服务网络建设项目</w:t>
            </w:r>
          </w:p>
        </w:tc>
        <w:tc>
          <w:tcPr>
            <w:tcW w:w="6702" w:type="dxa"/>
            <w:vAlign w:val="center"/>
          </w:tcPr>
          <w:p w14:paraId="38CF39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建设县域托育服务监管系统；在宾州镇建设1个县级托育综合服务中心；在黎塘镇建设1个普惠托育机构；在其余14个镇各建设1所普惠托育机构。</w:t>
            </w:r>
          </w:p>
        </w:tc>
      </w:tr>
      <w:tr w14:paraId="00057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3D67B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3</w:t>
            </w:r>
          </w:p>
        </w:tc>
        <w:tc>
          <w:tcPr>
            <w:tcW w:w="1650" w:type="dxa"/>
            <w:vAlign w:val="center"/>
          </w:tcPr>
          <w:p w14:paraId="35A3EE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民营医院建设项目</w:t>
            </w:r>
          </w:p>
        </w:tc>
        <w:tc>
          <w:tcPr>
            <w:tcW w:w="6702" w:type="dxa"/>
            <w:vAlign w:val="center"/>
          </w:tcPr>
          <w:p w14:paraId="0CD1C4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宾阳仁德医院医养结合院：新建医院综合楼、康养楼等，总建筑面积约8万㎡，设康复床位200张、养老床位300张。</w:t>
            </w:r>
          </w:p>
          <w:p w14:paraId="5A4644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宾阳封氏德济烧伤创伤医院：新建门诊楼、住院楼等，总建筑面积1.6万㎡。</w:t>
            </w:r>
          </w:p>
          <w:p w14:paraId="6E7AFD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黎塘黎诚医养结合项目：新建医院综合楼、养老综合楼等，总建筑面积约2.48万㎡，设医疗、养老床位各150张。</w:t>
            </w:r>
          </w:p>
        </w:tc>
      </w:tr>
      <w:tr w14:paraId="61CE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45AA8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4</w:t>
            </w:r>
          </w:p>
        </w:tc>
        <w:tc>
          <w:tcPr>
            <w:tcW w:w="1650" w:type="dxa"/>
            <w:vAlign w:val="center"/>
          </w:tcPr>
          <w:p w14:paraId="5351B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县人民医院医共体基建项目</w:t>
            </w:r>
          </w:p>
        </w:tc>
        <w:tc>
          <w:tcPr>
            <w:tcW w:w="6702" w:type="dxa"/>
            <w:vAlign w:val="center"/>
          </w:tcPr>
          <w:p w14:paraId="4F8A97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城南院区：新建1栋19层服务综合楼。</w:t>
            </w:r>
          </w:p>
          <w:p w14:paraId="2BF3CE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精神病分院：新建1栋精神科住院楼。</w:t>
            </w:r>
          </w:p>
          <w:p w14:paraId="4764C4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甘棠分院：新建1栋10层急诊住院综合楼。</w:t>
            </w:r>
          </w:p>
          <w:p w14:paraId="7B0969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宾州分院：新建1栋7层公共卫生服务综合大楼。</w:t>
            </w:r>
          </w:p>
          <w:p w14:paraId="717740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王灵镇分院：新建住院综合楼和中医康复大楼。</w:t>
            </w:r>
          </w:p>
          <w:p w14:paraId="0D56B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新宾分院：宾州镇新宾卫生院康复综合楼。</w:t>
            </w:r>
          </w:p>
        </w:tc>
      </w:tr>
      <w:tr w14:paraId="75407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2205B3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5</w:t>
            </w:r>
          </w:p>
        </w:tc>
        <w:tc>
          <w:tcPr>
            <w:tcW w:w="1650" w:type="dxa"/>
            <w:vAlign w:val="center"/>
          </w:tcPr>
          <w:p w14:paraId="58F70C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县中医医院医共体基建项目</w:t>
            </w:r>
          </w:p>
        </w:tc>
        <w:tc>
          <w:tcPr>
            <w:tcW w:w="6702" w:type="dxa"/>
            <w:vAlign w:val="center"/>
          </w:tcPr>
          <w:p w14:paraId="559612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老院区：改造为一级康复医院。</w:t>
            </w:r>
          </w:p>
          <w:p w14:paraId="214C6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芦圩分院：新建1栋16层服务综合大楼。</w:t>
            </w:r>
          </w:p>
          <w:p w14:paraId="0ABE81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武陵分院：新建1栋10层中医康复康养综合大楼。</w:t>
            </w:r>
          </w:p>
          <w:p w14:paraId="15F411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陈平分院：新建1栋6层门诊住院综合楼。</w:t>
            </w:r>
          </w:p>
        </w:tc>
      </w:tr>
      <w:tr w14:paraId="5DA75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595869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6</w:t>
            </w:r>
          </w:p>
        </w:tc>
        <w:tc>
          <w:tcPr>
            <w:tcW w:w="1650" w:type="dxa"/>
            <w:vAlign w:val="center"/>
          </w:tcPr>
          <w:p w14:paraId="1CD56F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县妇幼保健院医共体基建项目</w:t>
            </w:r>
          </w:p>
        </w:tc>
        <w:tc>
          <w:tcPr>
            <w:tcW w:w="6702" w:type="dxa"/>
            <w:vAlign w:val="center"/>
          </w:tcPr>
          <w:p w14:paraId="13DD8B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总院：宾阳县妇幼保健院整体迁建工程；改造住院部病房、重症手术病房和手术室。</w:t>
            </w:r>
          </w:p>
          <w:p w14:paraId="63FBA5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黎塘中心分院：新建1栋10层综合住院大楼。</w:t>
            </w:r>
          </w:p>
          <w:p w14:paraId="361597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古辣分院：新建1栋6层公共卫生住院综合楼。</w:t>
            </w:r>
          </w:p>
          <w:p w14:paraId="4ACAE9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新桥分院：新建1栋11层综合楼。</w:t>
            </w:r>
          </w:p>
        </w:tc>
      </w:tr>
      <w:tr w14:paraId="2F57D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F198B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7</w:t>
            </w:r>
          </w:p>
        </w:tc>
        <w:tc>
          <w:tcPr>
            <w:tcW w:w="1650" w:type="dxa"/>
            <w:vAlign w:val="center"/>
          </w:tcPr>
          <w:p w14:paraId="5E8DD3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县中医医院老年病诊疗康复综合项目</w:t>
            </w:r>
          </w:p>
        </w:tc>
        <w:tc>
          <w:tcPr>
            <w:tcW w:w="6702" w:type="dxa"/>
            <w:vAlign w:val="center"/>
          </w:tcPr>
          <w:p w14:paraId="2368B6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新建1栋15层综合楼；改造北院区康复楼；建设连接连廊。</w:t>
            </w:r>
          </w:p>
        </w:tc>
      </w:tr>
      <w:tr w14:paraId="09E1A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004EE0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default"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8</w:t>
            </w:r>
          </w:p>
        </w:tc>
        <w:tc>
          <w:tcPr>
            <w:tcW w:w="1650" w:type="dxa"/>
            <w:vAlign w:val="center"/>
          </w:tcPr>
          <w:p w14:paraId="472630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center"/>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县人民医院医共体病房改扩建工程项目</w:t>
            </w:r>
          </w:p>
        </w:tc>
        <w:tc>
          <w:tcPr>
            <w:tcW w:w="6702" w:type="dxa"/>
            <w:vAlign w:val="center"/>
          </w:tcPr>
          <w:p w14:paraId="393DB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44" w:lineRule="auto"/>
              <w:ind w:left="0" w:right="0" w:firstLine="0" w:firstLineChars="0"/>
              <w:jc w:val="left"/>
              <w:textAlignment w:val="auto"/>
              <w:rPr>
                <w:rFonts w:hint="eastAsia" w:asciiTheme="minorEastAsia" w:hAnsiTheme="minorEastAsia" w:eastAsiaTheme="minorEastAsia" w:cstheme="minorEastAsia"/>
                <w:b w:val="0"/>
                <w:bCs w:val="0"/>
                <w:color w:val="auto"/>
                <w:sz w:val="24"/>
                <w:szCs w:val="24"/>
                <w:highlight w:val="none"/>
                <w:vertAlign w:val="baseline"/>
                <w:lang w:val="en-US" w:eastAsia="zh-CN"/>
              </w:rPr>
            </w:pPr>
            <w:r>
              <w:rPr>
                <w:rFonts w:hint="eastAsia" w:asciiTheme="minorEastAsia" w:hAnsiTheme="minorEastAsia" w:eastAsiaTheme="minorEastAsia" w:cstheme="minorEastAsia"/>
                <w:b w:val="0"/>
                <w:bCs w:val="0"/>
                <w:color w:val="auto"/>
                <w:sz w:val="24"/>
                <w:szCs w:val="24"/>
                <w:highlight w:val="none"/>
                <w:vertAlign w:val="baseline"/>
                <w:lang w:val="en-US" w:eastAsia="zh-CN"/>
              </w:rPr>
              <w:t>改造县人民医院9号住院楼病房和县精神病医院病房楼。</w:t>
            </w:r>
          </w:p>
        </w:tc>
      </w:tr>
    </w:tbl>
    <w:p w14:paraId="1C111FB5">
      <w:pPr>
        <w:pageBreakBefore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kern w:val="0"/>
          <w:sz w:val="32"/>
          <w:szCs w:val="32"/>
          <w:highlight w:val="none"/>
          <w:lang w:val="en-US" w:eastAsia="zh-CN" w:bidi="ar"/>
        </w:rPr>
      </w:pPr>
    </w:p>
    <w:p w14:paraId="7B85FAEB">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287" w:name="_Toc31613"/>
      <w:bookmarkStart w:id="288" w:name="_Toc20634"/>
      <w:bookmarkStart w:id="289" w:name="_Toc23219"/>
      <w:bookmarkStart w:id="290" w:name="_Toc16261"/>
      <w:bookmarkStart w:id="291" w:name="_Toc25091"/>
      <w:bookmarkStart w:id="292" w:name="_Toc21825"/>
      <w:r>
        <w:rPr>
          <w:rFonts w:hint="eastAsia"/>
          <w:color w:val="auto"/>
          <w:highlight w:val="none"/>
          <w:lang w:val="en-US" w:eastAsia="zh-CN"/>
        </w:rPr>
        <w:t xml:space="preserve">第五节 </w:t>
      </w:r>
      <w:r>
        <w:rPr>
          <w:rFonts w:hint="eastAsia" w:ascii="楷体_GB2312" w:hAnsi="楷体_GB2312" w:eastAsia="楷体_GB2312" w:cs="楷体_GB2312"/>
          <w:b/>
          <w:bCs/>
          <w:color w:val="auto"/>
          <w:sz w:val="32"/>
          <w:szCs w:val="32"/>
          <w:highlight w:val="none"/>
          <w:u w:val="none"/>
          <w:lang w:val="en-US" w:eastAsia="zh-CN"/>
        </w:rPr>
        <w:t>促进人口高质量发展</w:t>
      </w:r>
      <w:bookmarkEnd w:id="287"/>
      <w:bookmarkEnd w:id="288"/>
      <w:bookmarkEnd w:id="289"/>
      <w:bookmarkEnd w:id="290"/>
      <w:bookmarkEnd w:id="291"/>
      <w:bookmarkEnd w:id="292"/>
    </w:p>
    <w:p w14:paraId="7B0BE193">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健全人口服务与支持体系。</w:t>
      </w:r>
      <w:r>
        <w:rPr>
          <w:rFonts w:hint="default" w:ascii="仿宋_GB2312" w:hAnsi="仿宋_GB2312" w:eastAsia="仿宋_GB2312" w:cs="Times New Roman"/>
          <w:b w:val="0"/>
          <w:bCs w:val="0"/>
          <w:color w:val="auto"/>
          <w:kern w:val="0"/>
          <w:sz w:val="32"/>
          <w:szCs w:val="32"/>
          <w:highlight w:val="none"/>
          <w:lang w:val="en-US" w:eastAsia="zh-CN" w:bidi="ar"/>
        </w:rPr>
        <w:t>构建覆盖全人群、全生命周期的人口服务体系。全面落实国家生育支持政策及补贴，探索符合本地实际的激励措施，降低家庭生育、养育、教育成本。积极争取并推进生育友好型城市建设试点，倡导积极正向的婚育观念，优化母婴健康全程服务。大力发展社区嵌入式托育和托幼一体化服务，扩大普惠托育有效供给</w:t>
      </w:r>
      <w:r>
        <w:rPr>
          <w:rFonts w:hint="eastAsia" w:ascii="仿宋_GB2312" w:hAnsi="仿宋_GB2312" w:cs="Times New Roman"/>
          <w:b w:val="0"/>
          <w:bCs w:val="0"/>
          <w:color w:val="auto"/>
          <w:kern w:val="0"/>
          <w:sz w:val="32"/>
          <w:szCs w:val="32"/>
          <w:highlight w:val="none"/>
          <w:lang w:val="en-US" w:eastAsia="zh-CN" w:bidi="ar"/>
        </w:rPr>
        <w:t>，</w:t>
      </w:r>
      <w:r>
        <w:rPr>
          <w:rFonts w:hint="default" w:ascii="仿宋_GB2312" w:hAnsi="仿宋_GB2312" w:eastAsia="仿宋_GB2312" w:cs="Times New Roman"/>
          <w:b w:val="0"/>
          <w:bCs w:val="0"/>
          <w:color w:val="auto"/>
          <w:kern w:val="0"/>
          <w:sz w:val="32"/>
          <w:szCs w:val="32"/>
          <w:highlight w:val="none"/>
          <w:lang w:val="en-US" w:eastAsia="zh-CN" w:bidi="ar"/>
        </w:rPr>
        <w:t>鼓励社会力量参与，增加托育服务有效供给</w:t>
      </w:r>
      <w:r>
        <w:rPr>
          <w:rFonts w:hint="eastAsia" w:ascii="仿宋_GB2312" w:hAnsi="仿宋_GB2312" w:cs="Times New Roman"/>
          <w:b w:val="0"/>
          <w:bCs w:val="0"/>
          <w:color w:val="auto"/>
          <w:kern w:val="0"/>
          <w:sz w:val="32"/>
          <w:szCs w:val="32"/>
          <w:highlight w:val="none"/>
          <w:lang w:val="en-US" w:eastAsia="zh-CN" w:bidi="ar"/>
        </w:rPr>
        <w:t>，</w:t>
      </w:r>
      <w:r>
        <w:rPr>
          <w:rFonts w:hint="default" w:ascii="仿宋_GB2312" w:hAnsi="仿宋_GB2312" w:eastAsia="仿宋_GB2312" w:cs="Times New Roman"/>
          <w:b w:val="0"/>
          <w:bCs w:val="0"/>
          <w:color w:val="auto"/>
          <w:kern w:val="0"/>
          <w:sz w:val="32"/>
          <w:szCs w:val="32"/>
          <w:highlight w:val="none"/>
          <w:lang w:val="en-US" w:eastAsia="zh-CN" w:bidi="ar"/>
        </w:rPr>
        <w:t>加强托育服务人才队伍建设和规范管理，提升托育服务质量。</w:t>
      </w:r>
    </w:p>
    <w:p w14:paraId="465219E9">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完善养老服务体系与制度保障。</w:t>
      </w:r>
      <w:r>
        <w:rPr>
          <w:rFonts w:hint="default" w:ascii="仿宋_GB2312" w:hAnsi="仿宋_GB2312" w:eastAsia="仿宋_GB2312" w:cs="Times New Roman"/>
          <w:b w:val="0"/>
          <w:bCs w:val="0"/>
          <w:color w:val="auto"/>
          <w:kern w:val="0"/>
          <w:sz w:val="32"/>
          <w:szCs w:val="32"/>
          <w:highlight w:val="none"/>
          <w:lang w:val="en-US" w:eastAsia="zh-CN" w:bidi="ar"/>
        </w:rPr>
        <w:t>推动构建县、镇、村三级养老服务网络，重点实施宾阳县和康老年养护中心、宾阳东（黎塘）养老服务中心项目建设。健全基本养老服务，推进医养、医育结合向社区和家庭延伸，大力发展社区照料服务。稳妥推行长期护理保险，健全失能失智老年人照护体系。稳妥实施渐进式延迟法定退休年龄政策。</w:t>
      </w:r>
    </w:p>
    <w:p w14:paraId="52E95F1E">
      <w:pPr>
        <w:pageBreakBefore w:val="0"/>
        <w:kinsoku/>
        <w:wordWrap/>
        <w:overflowPunct/>
        <w:topLinePunct w:val="0"/>
        <w:autoSpaceDE/>
        <w:autoSpaceDN/>
        <w:bidi w:val="0"/>
        <w:adjustRightInd/>
        <w:snapToGrid/>
        <w:spacing w:line="560" w:lineRule="exact"/>
        <w:textAlignment w:val="auto"/>
        <w:outlineLvl w:val="9"/>
        <w:rPr>
          <w:rFonts w:hint="default" w:ascii="仿宋_GB2312" w:hAnsi="仿宋_GB2312" w:eastAsia="仿宋_GB2312" w:cs="Times New Roman"/>
          <w:b w:val="0"/>
          <w:bCs w:val="0"/>
          <w:color w:val="auto"/>
          <w:kern w:val="0"/>
          <w:sz w:val="32"/>
          <w:szCs w:val="32"/>
          <w:highlight w:val="none"/>
          <w:lang w:val="en-US" w:eastAsia="zh-CN" w:bidi="ar"/>
        </w:rPr>
      </w:pPr>
      <w:r>
        <w:rPr>
          <w:rFonts w:hint="default" w:ascii="仿宋_GB2312" w:hAnsi="仿宋_GB2312" w:eastAsia="仿宋_GB2312" w:cs="Times New Roman"/>
          <w:b/>
          <w:bCs/>
          <w:color w:val="auto"/>
          <w:kern w:val="0"/>
          <w:sz w:val="32"/>
          <w:szCs w:val="32"/>
          <w:highlight w:val="none"/>
          <w:lang w:val="en-US" w:eastAsia="zh-CN" w:bidi="ar"/>
        </w:rPr>
        <w:t>促进老年社会参与与银发经济发展。</w:t>
      </w:r>
      <w:r>
        <w:rPr>
          <w:rFonts w:hint="default" w:ascii="仿宋_GB2312" w:hAnsi="仿宋_GB2312" w:eastAsia="仿宋_GB2312" w:cs="Times New Roman"/>
          <w:b w:val="0"/>
          <w:bCs w:val="0"/>
          <w:color w:val="auto"/>
          <w:kern w:val="0"/>
          <w:sz w:val="32"/>
          <w:szCs w:val="32"/>
          <w:highlight w:val="none"/>
          <w:lang w:val="en-US" w:eastAsia="zh-CN" w:bidi="ar"/>
        </w:rPr>
        <w:t>积极开发老年人力资源，鼓励专业技术人才和健康老年人参与社会服务。培育发展银发经济，支持老年用品、康复辅助器具、智慧养老等产业发展，丰富老年产品和服务供给。加强人口发展监测与公共服务资源配置，建立健全与人口结构变化相适应的保障机制，促进人口长期均衡发展。</w:t>
      </w:r>
    </w:p>
    <w:p w14:paraId="7009296D">
      <w:pPr>
        <w:pStyle w:val="3"/>
        <w:pageBreakBefore w:val="0"/>
        <w:kinsoku/>
        <w:wordWrap/>
        <w:overflowPunct/>
        <w:topLinePunct w:val="0"/>
        <w:autoSpaceDE/>
        <w:autoSpaceDN/>
        <w:bidi w:val="0"/>
        <w:adjustRightInd/>
        <w:snapToGrid/>
        <w:spacing w:line="560" w:lineRule="exact"/>
        <w:ind w:firstLine="0" w:firstLineChars="0"/>
        <w:jc w:val="center"/>
        <w:textAlignment w:val="auto"/>
        <w:outlineLvl w:val="0"/>
        <w:rPr>
          <w:rFonts w:hint="eastAsia" w:cs="Times New Roman" w:asciiTheme="minorAscii" w:hAnsiTheme="minorAscii"/>
          <w:b/>
          <w:bCs w:val="0"/>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bookmarkStart w:id="293" w:name="_Toc18604"/>
      <w:bookmarkStart w:id="294" w:name="_Toc20785"/>
    </w:p>
    <w:p w14:paraId="02B72967">
      <w:pPr>
        <w:pStyle w:val="3"/>
        <w:pageBreakBefore w:val="0"/>
        <w:kinsoku/>
        <w:wordWrap/>
        <w:overflowPunct/>
        <w:topLinePunct w:val="0"/>
        <w:autoSpaceDE/>
        <w:autoSpaceDN/>
        <w:bidi w:val="0"/>
        <w:adjustRightInd/>
        <w:snapToGrid/>
        <w:spacing w:line="560" w:lineRule="exact"/>
        <w:ind w:firstLine="0" w:firstLineChars="0"/>
        <w:jc w:val="center"/>
        <w:textAlignment w:val="auto"/>
        <w:outlineLvl w:val="0"/>
        <w:rPr>
          <w:rFonts w:hint="eastAsia" w:cs="Times New Roman" w:asciiTheme="minorAscii" w:hAnsiTheme="minorAscii"/>
          <w:b/>
          <w:bCs w:val="0"/>
          <w:color w:val="auto"/>
          <w:sz w:val="32"/>
          <w:szCs w:val="32"/>
          <w:highlight w:val="none"/>
          <w:lang w:val="en-US" w:eastAsia="zh-CN"/>
        </w:rPr>
      </w:pPr>
      <w:bookmarkStart w:id="295" w:name="_Toc9019"/>
      <w:bookmarkStart w:id="296" w:name="_Toc11696"/>
      <w:bookmarkStart w:id="297" w:name="_Toc23454"/>
      <w:bookmarkStart w:id="298" w:name="_Toc27884"/>
      <w:r>
        <w:rPr>
          <w:rFonts w:hint="eastAsia" w:cs="Times New Roman" w:asciiTheme="minorAscii" w:hAnsiTheme="minorAscii"/>
          <w:b w:val="0"/>
          <w:bCs/>
          <w:color w:val="auto"/>
          <w:sz w:val="32"/>
          <w:szCs w:val="32"/>
          <w:highlight w:val="none"/>
          <w:lang w:val="en-US" w:eastAsia="zh-CN"/>
        </w:rPr>
        <w:t xml:space="preserve">第十三章 </w:t>
      </w:r>
      <w:bookmarkEnd w:id="293"/>
      <w:bookmarkEnd w:id="294"/>
      <w:bookmarkEnd w:id="295"/>
      <w:r>
        <w:rPr>
          <w:rFonts w:hint="eastAsia" w:cs="Times New Roman" w:asciiTheme="minorAscii" w:hAnsiTheme="minorAscii"/>
          <w:b w:val="0"/>
          <w:bCs/>
          <w:color w:val="auto"/>
          <w:sz w:val="32"/>
          <w:szCs w:val="32"/>
          <w:highlight w:val="none"/>
          <w:lang w:val="en-US" w:eastAsia="zh-CN"/>
        </w:rPr>
        <w:t>推进生态绿色发展，建设美丽宾阳</w:t>
      </w:r>
      <w:bookmarkEnd w:id="296"/>
      <w:bookmarkEnd w:id="297"/>
      <w:bookmarkEnd w:id="298"/>
    </w:p>
    <w:p w14:paraId="378CDD0C">
      <w:pPr>
        <w:keepNext/>
        <w:keepLines/>
        <w:ind w:firstLine="640" w:firstLineChars="200"/>
        <w:jc w:val="left"/>
        <w:outlineLvl w:val="9"/>
        <w:rPr>
          <w:rFonts w:hint="eastAsia"/>
          <w:color w:val="auto"/>
          <w:highlight w:val="none"/>
          <w:lang w:val="en-US" w:eastAsia="zh-CN"/>
        </w:rPr>
      </w:pPr>
      <w:bookmarkStart w:id="299" w:name="_Toc325"/>
      <w:bookmarkStart w:id="300" w:name="_Toc8377"/>
      <w:bookmarkStart w:id="301" w:name="_Toc26676"/>
      <w:r>
        <w:rPr>
          <w:rFonts w:hint="eastAsia" w:ascii="仿宋_GB2312" w:hAnsi="仿宋_GB2312" w:eastAsia="仿宋_GB2312" w:cs="仿宋_GB2312"/>
          <w:b w:val="0"/>
          <w:bCs w:val="0"/>
          <w:color w:val="auto"/>
          <w:sz w:val="32"/>
          <w:szCs w:val="32"/>
          <w:highlight w:val="none"/>
          <w:lang w:val="en-US" w:eastAsia="zh-CN"/>
        </w:rPr>
        <w:t>生态绿色发展是宾阳县现代化建设的内在要求。必须统筹建好政治生态、自然生态“两个生态”，践行绿水青山就是金山银山的理念，坚持污染防治、生态修复与绿色转型协同推进，加快发展方式低碳化、能源结构清洁化、生产生活绿色化，全力守护宾阳</w:t>
      </w:r>
      <w:r>
        <w:rPr>
          <w:rFonts w:hint="eastAsia" w:ascii="仿宋_GB2312" w:hAnsi="仿宋_GB2312" w:cs="仿宋_GB2312"/>
          <w:b w:val="0"/>
          <w:bCs w:val="0"/>
          <w:color w:val="auto"/>
          <w:sz w:val="32"/>
          <w:szCs w:val="32"/>
          <w:highlight w:val="none"/>
          <w:lang w:val="en-US" w:eastAsia="zh-CN"/>
        </w:rPr>
        <w:t>蓝天、碧水、净土</w:t>
      </w:r>
      <w:r>
        <w:rPr>
          <w:rFonts w:hint="eastAsia" w:ascii="仿宋_GB2312" w:hAnsi="仿宋_GB2312" w:eastAsia="仿宋_GB2312" w:cs="仿宋_GB2312"/>
          <w:b w:val="0"/>
          <w:bCs w:val="0"/>
          <w:color w:val="auto"/>
          <w:sz w:val="32"/>
          <w:szCs w:val="32"/>
          <w:highlight w:val="none"/>
          <w:lang w:val="en-US" w:eastAsia="zh-CN"/>
        </w:rPr>
        <w:t>，建设人与自然和谐共生的美丽家园。</w:t>
      </w:r>
    </w:p>
    <w:p w14:paraId="48176958">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302" w:name="_Toc3926"/>
      <w:bookmarkStart w:id="303" w:name="_Toc18489"/>
      <w:bookmarkStart w:id="304" w:name="_Toc29382"/>
      <w:r>
        <w:rPr>
          <w:rFonts w:hint="eastAsia"/>
          <w:color w:val="auto"/>
          <w:highlight w:val="none"/>
          <w:lang w:val="en-US" w:eastAsia="zh-CN"/>
        </w:rPr>
        <w:t xml:space="preserve">第一节 </w:t>
      </w:r>
      <w:bookmarkEnd w:id="299"/>
      <w:bookmarkEnd w:id="300"/>
      <w:bookmarkEnd w:id="301"/>
      <w:r>
        <w:rPr>
          <w:rFonts w:hint="eastAsia"/>
          <w:color w:val="auto"/>
          <w:highlight w:val="none"/>
          <w:lang w:val="en-US" w:eastAsia="zh-CN"/>
        </w:rPr>
        <w:t>持续深入污染防治攻坚和生态系统优化</w:t>
      </w:r>
      <w:bookmarkEnd w:id="302"/>
      <w:bookmarkEnd w:id="303"/>
      <w:bookmarkEnd w:id="304"/>
    </w:p>
    <w:p w14:paraId="77962F1E">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深化大气污染治理改善空气质量。</w:t>
      </w:r>
      <w:r>
        <w:rPr>
          <w:rFonts w:hint="default" w:ascii="仿宋_GB2312" w:hAnsi="仿宋_GB2312" w:eastAsia="仿宋_GB2312" w:cs="仿宋_GB2312"/>
          <w:b w:val="0"/>
          <w:bCs w:val="0"/>
          <w:color w:val="auto"/>
          <w:sz w:val="32"/>
          <w:szCs w:val="32"/>
          <w:highlight w:val="none"/>
          <w:lang w:val="en-US" w:eastAsia="zh-CN"/>
        </w:rPr>
        <w:t xml:space="preserve"> 聚焦产业集聚区和</w:t>
      </w:r>
      <w:r>
        <w:rPr>
          <w:rFonts w:hint="eastAsia" w:ascii="仿宋_GB2312" w:hAnsi="仿宋_GB2312" w:cs="仿宋_GB2312"/>
          <w:b w:val="0"/>
          <w:bCs w:val="0"/>
          <w:color w:val="auto"/>
          <w:sz w:val="32"/>
          <w:szCs w:val="32"/>
          <w:highlight w:val="none"/>
          <w:lang w:val="en-US" w:eastAsia="zh-CN"/>
        </w:rPr>
        <w:t>城乡接合部</w:t>
      </w:r>
      <w:r>
        <w:rPr>
          <w:rFonts w:hint="default" w:ascii="仿宋_GB2312" w:hAnsi="仿宋_GB2312" w:eastAsia="仿宋_GB2312" w:cs="仿宋_GB2312"/>
          <w:b w:val="0"/>
          <w:bCs w:val="0"/>
          <w:color w:val="auto"/>
          <w:sz w:val="32"/>
          <w:szCs w:val="32"/>
          <w:highlight w:val="none"/>
          <w:lang w:val="en-US" w:eastAsia="zh-CN"/>
        </w:rPr>
        <w:t>等重点区域，强化大气污染源头协同治理。严格实施节假日期间烟花爆竹燃放管控，健全“人防+技防”联动预警机制，完善污染天气应急响应与重点企业错峰生产调控措施。推动重点行业实施环保升级改造和清洁能源替代，鼓励使用低碳燃料。深化面源污染精细化治理，强化施工扬尘“六个百分百”管控、道路高频次保洁以及餐饮油烟净化设施规范化运行监管，推广在线监测、移动监测等科技手段。协同推动能源消费结构优化，结合县域能源体系建设，扩大清洁能源在生产和生活领域的应用规模，推广新能源交通工具，构建绿色低碳的交通运输体系，促进细颗粒物和臭氧协同控制，推动环境空气质量持续巩固提升。</w:t>
      </w:r>
    </w:p>
    <w:p w14:paraId="5D71AA30">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强化水污染防治与水生态建设。</w:t>
      </w:r>
      <w:r>
        <w:rPr>
          <w:rFonts w:hint="default" w:ascii="仿宋_GB2312" w:hAnsi="仿宋_GB2312" w:eastAsia="仿宋_GB2312" w:cs="仿宋_GB2312"/>
          <w:b w:val="0"/>
          <w:bCs w:val="0"/>
          <w:color w:val="auto"/>
          <w:sz w:val="32"/>
          <w:szCs w:val="32"/>
          <w:highlight w:val="none"/>
          <w:lang w:val="en-US" w:eastAsia="zh-CN"/>
        </w:rPr>
        <w:t>以保障清水河等国控断面水质稳定达标为核心，系统推进水环境治理。加快补齐基础设施短板，重点推进</w:t>
      </w:r>
      <w:r>
        <w:rPr>
          <w:rFonts w:hint="eastAsia" w:ascii="仿宋_GB2312" w:hAnsi="仿宋_GB2312" w:eastAsia="仿宋_GB2312" w:cs="仿宋_GB2312"/>
          <w:b w:val="0"/>
          <w:bCs w:val="0"/>
          <w:color w:val="auto"/>
          <w:sz w:val="32"/>
          <w:szCs w:val="32"/>
          <w:highlight w:val="none"/>
          <w:lang w:val="en-US" w:eastAsia="zh-CN"/>
        </w:rPr>
        <w:t>产业</w:t>
      </w:r>
      <w:r>
        <w:rPr>
          <w:rFonts w:hint="default" w:ascii="仿宋_GB2312" w:hAnsi="仿宋_GB2312" w:eastAsia="仿宋_GB2312" w:cs="仿宋_GB2312"/>
          <w:b w:val="0"/>
          <w:bCs w:val="0"/>
          <w:color w:val="auto"/>
          <w:sz w:val="32"/>
          <w:szCs w:val="32"/>
          <w:highlight w:val="none"/>
          <w:lang w:val="en-US" w:eastAsia="zh-CN"/>
        </w:rPr>
        <w:t>园区污水处理厂扩建及管网修复、县城建成区雨污分流改造与管网延伸工程，消除管网错接漏接，</w:t>
      </w:r>
      <w:r>
        <w:rPr>
          <w:rFonts w:hint="eastAsia" w:ascii="仿宋_GB2312" w:hAnsi="仿宋_GB2312" w:eastAsia="仿宋_GB2312" w:cs="仿宋_GB2312"/>
          <w:b w:val="0"/>
          <w:bCs w:val="0"/>
          <w:color w:val="auto"/>
          <w:sz w:val="32"/>
          <w:szCs w:val="32"/>
          <w:highlight w:val="none"/>
          <w:lang w:val="en-US" w:eastAsia="zh-CN"/>
        </w:rPr>
        <w:t>“十五五”期末</w:t>
      </w:r>
      <w:r>
        <w:rPr>
          <w:rFonts w:hint="default" w:ascii="仿宋_GB2312" w:hAnsi="仿宋_GB2312" w:eastAsia="仿宋_GB2312" w:cs="仿宋_GB2312"/>
          <w:b w:val="0"/>
          <w:bCs w:val="0"/>
          <w:color w:val="auto"/>
          <w:sz w:val="32"/>
          <w:szCs w:val="32"/>
          <w:highlight w:val="none"/>
          <w:lang w:val="en-US" w:eastAsia="zh-CN"/>
        </w:rPr>
        <w:t>实现城镇生活污水集中处理率显著提升。深化农村生活污水治理，因地制宜推广低成本、易维护的分散式处理模式，健全“投建管运”一体化机制。协同推进“幸福河湖”建设，实施石狗江、竹筒江等水系连通及综合整治工程，将水生态修复与滨水公园、休闲绿道建设相结合，提升城乡水环境品质。</w:t>
      </w:r>
    </w:p>
    <w:p w14:paraId="482B0464">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推进土壤污染防治与风险管控。</w:t>
      </w:r>
      <w:r>
        <w:rPr>
          <w:rFonts w:hint="default" w:ascii="仿宋_GB2312" w:hAnsi="仿宋_GB2312" w:eastAsia="仿宋_GB2312" w:cs="仿宋_GB2312"/>
          <w:b w:val="0"/>
          <w:bCs w:val="0"/>
          <w:color w:val="auto"/>
          <w:sz w:val="32"/>
          <w:szCs w:val="32"/>
          <w:highlight w:val="none"/>
          <w:lang w:val="en-US" w:eastAsia="zh-CN"/>
        </w:rPr>
        <w:t>坚持预防为主、风险管控，切实保障农产品安全和人居环境安全。全面开展土壤污染状况详查，</w:t>
      </w:r>
      <w:r>
        <w:rPr>
          <w:rFonts w:hint="eastAsia" w:ascii="仿宋_GB2312" w:hAnsi="仿宋_GB2312" w:eastAsia="仿宋_GB2312" w:cs="仿宋_GB2312"/>
          <w:b w:val="0"/>
          <w:bCs w:val="0"/>
          <w:color w:val="auto"/>
          <w:sz w:val="32"/>
          <w:szCs w:val="32"/>
          <w:highlight w:val="none"/>
          <w:lang w:val="en-US" w:eastAsia="zh-CN"/>
        </w:rPr>
        <w:t>进行</w:t>
      </w:r>
      <w:r>
        <w:rPr>
          <w:rFonts w:hint="default" w:ascii="仿宋_GB2312" w:hAnsi="仿宋_GB2312" w:eastAsia="仿宋_GB2312" w:cs="仿宋_GB2312"/>
          <w:b w:val="0"/>
          <w:bCs w:val="0"/>
          <w:color w:val="auto"/>
          <w:sz w:val="32"/>
          <w:szCs w:val="32"/>
          <w:highlight w:val="none"/>
          <w:lang w:val="en-US" w:eastAsia="zh-CN"/>
        </w:rPr>
        <w:t>重点区域</w:t>
      </w:r>
      <w:r>
        <w:rPr>
          <w:rFonts w:hint="eastAsia" w:ascii="仿宋_GB2312" w:hAnsi="仿宋_GB2312" w:eastAsia="仿宋_GB2312" w:cs="仿宋_GB2312"/>
          <w:b w:val="0"/>
          <w:bCs w:val="0"/>
          <w:color w:val="auto"/>
          <w:sz w:val="32"/>
          <w:szCs w:val="32"/>
          <w:highlight w:val="none"/>
          <w:lang w:val="en-US" w:eastAsia="zh-CN"/>
        </w:rPr>
        <w:t>、</w:t>
      </w:r>
      <w:r>
        <w:rPr>
          <w:rFonts w:hint="default" w:ascii="仿宋_GB2312" w:hAnsi="仿宋_GB2312" w:eastAsia="仿宋_GB2312" w:cs="仿宋_GB2312"/>
          <w:b w:val="0"/>
          <w:bCs w:val="0"/>
          <w:color w:val="auto"/>
          <w:sz w:val="32"/>
          <w:szCs w:val="32"/>
          <w:highlight w:val="none"/>
          <w:lang w:val="en-US" w:eastAsia="zh-CN"/>
        </w:rPr>
        <w:t>重点行业企业土壤污染状况调查与风险评估，建立污染地块清单及优先管控名录。强化涉重金属环境安全隐患分级分类系统整治和监测预警</w:t>
      </w:r>
      <w:r>
        <w:rPr>
          <w:rFonts w:hint="eastAsia" w:ascii="仿宋_GB2312" w:hAnsi="仿宋_GB2312" w:eastAsia="仿宋_GB2312" w:cs="仿宋_GB2312"/>
          <w:b w:val="0"/>
          <w:bCs w:val="0"/>
          <w:color w:val="auto"/>
          <w:sz w:val="32"/>
          <w:szCs w:val="32"/>
          <w:highlight w:val="none"/>
          <w:lang w:val="en-US" w:eastAsia="zh-CN"/>
        </w:rPr>
        <w:t>，</w:t>
      </w:r>
      <w:r>
        <w:rPr>
          <w:rFonts w:hint="default" w:ascii="仿宋_GB2312" w:hAnsi="仿宋_GB2312" w:eastAsia="仿宋_GB2312" w:cs="仿宋_GB2312"/>
          <w:b w:val="0"/>
          <w:bCs w:val="0"/>
          <w:color w:val="auto"/>
          <w:sz w:val="32"/>
          <w:szCs w:val="32"/>
          <w:highlight w:val="none"/>
          <w:lang w:val="en-US" w:eastAsia="zh-CN"/>
        </w:rPr>
        <w:t>严格涉重金属行业环境准入，督促重点企业落实土壤和地下水自行监测制度，排查整治环境隐患。实施分类精准管理，对查明污染地块，依据规划用途采取修复、风险管控或严格准入等措施；对优先保护类耕地，推行秸秆还田、增施有机肥，严禁在周边新建可能造成污染的项目。严防工矿污染向农业转移，持续开展“清废行动”，规范一般工业固废和尾矿库管理，推进历史遗留固体废物堆放场治理，筑牢土壤安全防线。</w:t>
      </w:r>
    </w:p>
    <w:p w14:paraId="1BC5CD17">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针对性治理农业面源污染。</w:t>
      </w:r>
      <w:r>
        <w:rPr>
          <w:rFonts w:hint="default" w:ascii="仿宋_GB2312" w:hAnsi="仿宋_GB2312" w:eastAsia="仿宋_GB2312" w:cs="仿宋_GB2312"/>
          <w:b w:val="0"/>
          <w:bCs w:val="0"/>
          <w:color w:val="auto"/>
          <w:sz w:val="32"/>
          <w:szCs w:val="32"/>
          <w:highlight w:val="none"/>
          <w:lang w:val="en-US" w:eastAsia="zh-CN"/>
        </w:rPr>
        <w:t>坚持以绿色生态为导向，大力推广测土配方施肥、病虫害绿色防控等低碳高效技术。依托畜禽规模化养殖项目，配套建设区域性畜禽粪污集中处理与资源化利用中心，推动粪污肥料化、能源化利用，构建“养殖—处理—还田”闭环。深化种养结合模式，促进农牧循环，降低化肥农药使用强度，提升土壤有机质含量。同时结合高标准农田建设与设施农业发展，统筹推进生态沟渠、田间拦截系统等面源污染防治设施，促进农业生产与环境保护协同增效</w:t>
      </w:r>
      <w:r>
        <w:rPr>
          <w:rFonts w:hint="eastAsia" w:ascii="仿宋_GB2312" w:hAnsi="仿宋_GB2312" w:eastAsia="仿宋_GB2312" w:cs="仿宋_GB2312"/>
          <w:b w:val="0"/>
          <w:bCs w:val="0"/>
          <w:color w:val="auto"/>
          <w:sz w:val="32"/>
          <w:szCs w:val="32"/>
          <w:highlight w:val="none"/>
          <w:lang w:val="en-US" w:eastAsia="zh-CN"/>
        </w:rPr>
        <w:t>。</w:t>
      </w:r>
    </w:p>
    <w:p w14:paraId="186A252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textAlignment w:val="auto"/>
        <w:outlineLvl w:val="9"/>
        <w:rPr>
          <w:rFonts w:hint="eastAsia" w:ascii="Arial" w:hAnsi="Arial" w:cs="Times New Roman"/>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加强生态系统整体保护与修复。</w:t>
      </w:r>
      <w:r>
        <w:rPr>
          <w:rFonts w:hint="default" w:ascii="仿宋_GB2312" w:hAnsi="仿宋_GB2312" w:eastAsia="仿宋_GB2312" w:cs="仿宋_GB2312"/>
          <w:b w:val="0"/>
          <w:bCs w:val="0"/>
          <w:color w:val="auto"/>
          <w:sz w:val="32"/>
          <w:szCs w:val="32"/>
          <w:highlight w:val="none"/>
          <w:lang w:val="en-US" w:eastAsia="zh-CN"/>
        </w:rPr>
        <w:t>坚持系统观念，统筹推进山水林田湖一体化保护与修复。严格生态空间管控，衔接国土空间规划，守住自然生态安全边界。实施重要生态系统保护与修复工程，持续推进全域国土绿化，高质量建设甘棠镇龙母岭生态公园等公园绿地，规划建设沿红郁运河、六宾高速等重大线性工程的生态廊道。强化生物多样性保护，对思陇镇古水松等珍稀物种实施“一树一策”精准管护，与周边区域共建清水河－大明山生态廊道，协同开展野生动植物栖息地保护恢复。压实各级责任，强化森林防火、林业有害生物防控及河道巡查监管。探索生态价值实现机制，结合林业碳汇项目开发，推动生态优势转化为经济优势，筑牢南宁东北部生态安全屏障。</w:t>
      </w:r>
    </w:p>
    <w:p w14:paraId="4BD9578E">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305" w:name="_Toc6100"/>
      <w:bookmarkStart w:id="306" w:name="_Toc16158"/>
      <w:bookmarkStart w:id="307" w:name="_Toc2560"/>
      <w:bookmarkStart w:id="308" w:name="_Toc16278"/>
      <w:bookmarkStart w:id="309" w:name="_Toc13662"/>
      <w:bookmarkStart w:id="310" w:name="_Toc24378"/>
      <w:r>
        <w:rPr>
          <w:rFonts w:hint="eastAsia"/>
          <w:color w:val="auto"/>
          <w:highlight w:val="none"/>
          <w:lang w:val="en-US" w:eastAsia="zh-CN"/>
        </w:rPr>
        <w:t xml:space="preserve">第二节 </w:t>
      </w:r>
      <w:bookmarkEnd w:id="305"/>
      <w:bookmarkEnd w:id="306"/>
      <w:bookmarkEnd w:id="307"/>
      <w:r>
        <w:rPr>
          <w:rFonts w:hint="eastAsia"/>
          <w:color w:val="auto"/>
          <w:highlight w:val="none"/>
          <w:lang w:val="en-US" w:eastAsia="zh-CN"/>
        </w:rPr>
        <w:t>加快建设新型能源体系</w:t>
      </w:r>
      <w:bookmarkEnd w:id="308"/>
      <w:bookmarkEnd w:id="309"/>
      <w:bookmarkEnd w:id="310"/>
    </w:p>
    <w:p w14:paraId="14FD7655">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优化多元能源供应结构。</w:t>
      </w:r>
      <w:r>
        <w:rPr>
          <w:rFonts w:hint="eastAsia" w:ascii="仿宋_GB2312" w:hAnsi="仿宋_GB2312" w:eastAsia="仿宋_GB2312" w:cs="仿宋_GB2312"/>
          <w:b w:val="0"/>
          <w:bCs w:val="0"/>
          <w:color w:val="auto"/>
          <w:sz w:val="32"/>
          <w:szCs w:val="32"/>
          <w:highlight w:val="none"/>
          <w:lang w:val="en-US" w:eastAsia="zh-CN"/>
        </w:rPr>
        <w:t>构建以电力为核心、安全高效的多元能源供应体系。充分发挥煤电基础支撑和调节作用，抢抓能源绿色转型机遇，科学有序开发风电、光伏等可再生能源，依托低山丘陵与光照资源规划建设集中式与分布式项目，稳步提升非化石能源供给比重。聚焦黎塘工业园区等重点产业平台用电需求，系统推进主干电网升级与智能配电网建设，增强新能源就地消纳与绿电直供能力，探索“源网荷储”一体化发展模式。完善煤炭、石油、天然气多渠道、多元化供应储备体系，</w:t>
      </w:r>
      <w:r>
        <w:rPr>
          <w:rFonts w:hint="eastAsia" w:ascii="仿宋_GB2312" w:hAnsi="仿宋_GB2312" w:cs="仿宋_GB2312"/>
          <w:b w:val="0"/>
          <w:bCs w:val="0"/>
          <w:color w:val="auto"/>
          <w:sz w:val="32"/>
          <w:szCs w:val="32"/>
          <w:highlight w:val="none"/>
          <w:lang w:val="en-US" w:eastAsia="zh-CN"/>
        </w:rPr>
        <w:t>提升</w:t>
      </w:r>
      <w:r>
        <w:rPr>
          <w:rFonts w:hint="eastAsia" w:ascii="仿宋_GB2312" w:hAnsi="仿宋_GB2312" w:eastAsia="仿宋_GB2312" w:cs="仿宋_GB2312"/>
          <w:b w:val="0"/>
          <w:bCs w:val="0"/>
          <w:color w:val="auto"/>
          <w:sz w:val="32"/>
          <w:szCs w:val="32"/>
          <w:highlight w:val="none"/>
          <w:lang w:val="en-US" w:eastAsia="zh-CN"/>
        </w:rPr>
        <w:t>能源供应链韧性与安全水平。建设县级能源大数据中心与管理平台，整合全县风光储等设施运行数据，实现能源生产、输送、消费全链条的智能监测与协同调度，提升能源系统整体效率和运营管理水平。</w:t>
      </w:r>
    </w:p>
    <w:p w14:paraId="371B2052">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培育氢能全产业链。</w:t>
      </w:r>
      <w:r>
        <w:rPr>
          <w:rFonts w:hint="eastAsia" w:ascii="仿宋_GB2312" w:hAnsi="仿宋_GB2312" w:eastAsia="仿宋_GB2312" w:cs="仿宋_GB2312"/>
          <w:b w:val="0"/>
          <w:bCs w:val="0"/>
          <w:color w:val="auto"/>
          <w:sz w:val="32"/>
          <w:szCs w:val="32"/>
          <w:highlight w:val="none"/>
          <w:lang w:val="en-US" w:eastAsia="zh-CN"/>
        </w:rPr>
        <w:t>抢抓氢能产业战略机遇，科学规划布局制、储、运、加、用全产业链，打造绿色发展新动能。依托本地可再生能源发展基础和工业副产氢资源，合理布局低碳制氢项目，优先利用工业副产氢，中长期向可再生能源电解水制氢拓展。系统构建加氢基础设施网络，重点在工业园区等氢能需求潜在区域布局建设分布式加氢站，着力</w:t>
      </w:r>
      <w:r>
        <w:rPr>
          <w:rFonts w:hint="eastAsia" w:ascii="仿宋_GB2312" w:hAnsi="仿宋_GB2312" w:cs="仿宋_GB2312"/>
          <w:b w:val="0"/>
          <w:bCs w:val="0"/>
          <w:color w:val="auto"/>
          <w:sz w:val="32"/>
          <w:szCs w:val="32"/>
          <w:highlight w:val="none"/>
          <w:lang w:val="en-US" w:eastAsia="zh-CN"/>
        </w:rPr>
        <w:t>打造</w:t>
      </w:r>
      <w:r>
        <w:rPr>
          <w:rFonts w:hint="eastAsia" w:ascii="仿宋_GB2312" w:hAnsi="仿宋_GB2312" w:eastAsia="仿宋_GB2312" w:cs="仿宋_GB2312"/>
          <w:b w:val="0"/>
          <w:bCs w:val="0"/>
          <w:color w:val="auto"/>
          <w:sz w:val="32"/>
          <w:szCs w:val="32"/>
          <w:highlight w:val="none"/>
          <w:lang w:val="en-US" w:eastAsia="zh-CN"/>
        </w:rPr>
        <w:t>宾阳县绿氢能源制氢加氢一体站。积极拓展氢能多元化示范应用场景，重点推动氢燃料电池汽车在公共交通、重型物流等领域的示范运营，并探索氢能在建材、玻璃等工业领域的燃料替代与原料应用。完善政策支持与标准体系，引导氢能装备制造、关键零部件等关联产业发展，促进氢能产业与现有高端装备制造、新能源汽车零部件产业集群深度融合。</w:t>
      </w:r>
    </w:p>
    <w:p w14:paraId="198D0FF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Times New Roman"/>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深化农村能源革命与智慧创新应用。</w:t>
      </w:r>
      <w:r>
        <w:rPr>
          <w:rFonts w:hint="eastAsia" w:ascii="仿宋_GB2312" w:hAnsi="仿宋_GB2312" w:eastAsia="仿宋_GB2312" w:cs="仿宋_GB2312"/>
          <w:b w:val="0"/>
          <w:bCs w:val="0"/>
          <w:color w:val="auto"/>
          <w:sz w:val="32"/>
          <w:szCs w:val="32"/>
          <w:highlight w:val="none"/>
          <w:lang w:val="en-US" w:eastAsia="zh-CN"/>
        </w:rPr>
        <w:t>巩固提升全国农村能源革命试点县建设成果，统筹推进农村能源体系清洁化、智能化转型升级。结合分布式光伏、分散式风电开发，科学规划建设一批独立储能电站和村级智慧微电网，提升农村电网对高比例可再生能源的接纳能力。深化分布式能源、智慧能源管理和新型储能技术集成创新与示范应用，在古辣香米产业区、现代设施农业基地等重点区域推广“光伏+农业”、用户侧储能、能源管控平台等模式，实现能源高效利用与智能调控。全面推动农村能源消费清洁替代，结合乡村建设行动实施电气化提升工程，并积极推广生物质能、太阳能等清洁供暖技术。通过构建清洁低碳、安全高效、智能互动的现代农村能源体系，为乡村全面振兴和农业农村现代化提供绿色动力支撑。</w:t>
      </w:r>
    </w:p>
    <w:p w14:paraId="201C2433">
      <w:pPr>
        <w:pStyle w:val="4"/>
        <w:pageBreakBefore w:val="0"/>
        <w:kinsoku/>
        <w:wordWrap/>
        <w:overflowPunct/>
        <w:topLinePunct w:val="0"/>
        <w:autoSpaceDE/>
        <w:autoSpaceDN/>
        <w:bidi w:val="0"/>
        <w:adjustRightInd/>
        <w:snapToGrid/>
        <w:spacing w:beforeLines="0" w:afterLines="0"/>
        <w:ind w:firstLine="0" w:firstLineChars="0"/>
        <w:jc w:val="center"/>
        <w:textAlignment w:val="auto"/>
        <w:rPr>
          <w:rFonts w:hint="eastAsia"/>
          <w:color w:val="auto"/>
          <w:highlight w:val="none"/>
          <w:lang w:val="en-US" w:eastAsia="zh-CN"/>
        </w:rPr>
      </w:pPr>
      <w:bookmarkStart w:id="311" w:name="_Toc6614"/>
      <w:bookmarkStart w:id="312" w:name="_Toc12847"/>
      <w:bookmarkStart w:id="313" w:name="_Toc31122"/>
      <w:bookmarkStart w:id="314" w:name="_Toc25161"/>
      <w:bookmarkStart w:id="315" w:name="_Toc12909"/>
      <w:bookmarkStart w:id="316" w:name="_Toc22907"/>
      <w:r>
        <w:rPr>
          <w:rFonts w:hint="eastAsia"/>
          <w:color w:val="auto"/>
          <w:highlight w:val="none"/>
          <w:lang w:val="en-US" w:eastAsia="zh-CN"/>
        </w:rPr>
        <w:t xml:space="preserve">第三节 </w:t>
      </w:r>
      <w:bookmarkEnd w:id="311"/>
      <w:bookmarkEnd w:id="312"/>
      <w:bookmarkEnd w:id="313"/>
      <w:r>
        <w:rPr>
          <w:rFonts w:hint="eastAsia"/>
          <w:color w:val="auto"/>
          <w:highlight w:val="none"/>
          <w:lang w:val="en-US" w:eastAsia="zh-CN"/>
        </w:rPr>
        <w:t>加快形成绿色生产生活方式</w:t>
      </w:r>
      <w:bookmarkEnd w:id="314"/>
      <w:bookmarkEnd w:id="315"/>
      <w:bookmarkEnd w:id="316"/>
    </w:p>
    <w:p w14:paraId="69F93C49">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健全生态环境治理体系。</w:t>
      </w:r>
      <w:r>
        <w:rPr>
          <w:rFonts w:hint="eastAsia" w:ascii="仿宋_GB2312" w:hAnsi="仿宋_GB2312" w:eastAsia="仿宋_GB2312" w:cs="仿宋_GB2312"/>
          <w:b w:val="0"/>
          <w:bCs w:val="0"/>
          <w:color w:val="auto"/>
          <w:sz w:val="32"/>
          <w:szCs w:val="32"/>
          <w:highlight w:val="none"/>
          <w:lang w:val="en-US" w:eastAsia="zh-CN"/>
        </w:rPr>
        <w:t>坚持以河湖长制、林长制为核心，压实生态保护责任，严格实施湿地保护与森林防火专项规划，强化对清水河、东班江等重点流域及清平水库等水源地的系统性保护与修复，持续推进水系连通与水美乡村建设。构建跨部门智慧化协同监测与执法机制，整合生态环境、自然资源、水利等领域数据，提升环境风险预警与精准管控能力。强化生态保护红线、环境质量底线与国土空间开发格局的硬性衔接，在全县产业布局优化中严格环境准入，推动工业园区实施循环化改造，从源头降低环境负荷，筑牢绿色发展的制度根基。</w:t>
      </w:r>
    </w:p>
    <w:p w14:paraId="1DBF760E">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pacing w:val="-6"/>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培育壮大绿色低碳循环产业。</w:t>
      </w:r>
      <w:r>
        <w:rPr>
          <w:rFonts w:hint="eastAsia" w:ascii="仿宋_GB2312" w:hAnsi="仿宋_GB2312" w:eastAsia="仿宋_GB2312" w:cs="仿宋_GB2312"/>
          <w:b w:val="0"/>
          <w:bCs w:val="0"/>
          <w:color w:val="auto"/>
          <w:sz w:val="32"/>
          <w:szCs w:val="32"/>
          <w:highlight w:val="none"/>
          <w:lang w:val="en-US" w:eastAsia="zh-CN"/>
        </w:rPr>
        <w:t>聚焦构建生态友好型产业体系，推动农业生态化与工业绿色化转型。农业领域深度拓展现代特色农业体系，大力推广林下中药材、稻渔综合种养等高效生态复合模式，高标准建设智慧牧场、生态循环养殖园区，推动畜禽粪污资源化利用与种养结合，打造全链条生态农业。工业领域严格能耗强度与排放总量控制，推动建材、造纸、制糖等传统优势产业实施节能降碳技术改造和清洁生产审核，支持企业利用工业固废生产新型建材。大力发展风电、光伏等新能源及储能产业，培育绿色工厂、绿色园区与绿色供应链。积极布局资源再生利用、节能环保装备制造与服务产业，完善废旧汽车、废弃纸品等回收利用网络，构建</w:t>
      </w:r>
      <w:r>
        <w:rPr>
          <w:rFonts w:hint="eastAsia" w:ascii="仿宋_GB2312" w:hAnsi="仿宋_GB2312" w:eastAsia="仿宋_GB2312" w:cs="仿宋_GB2312"/>
          <w:b w:val="0"/>
          <w:bCs w:val="0"/>
          <w:color w:val="auto"/>
          <w:spacing w:val="-6"/>
          <w:sz w:val="32"/>
          <w:szCs w:val="32"/>
          <w:highlight w:val="none"/>
          <w:lang w:val="en-US" w:eastAsia="zh-CN"/>
        </w:rPr>
        <w:t>覆盖生产、消费、回收各环节的绿色制造与资源循环利用体系。</w:t>
      </w:r>
    </w:p>
    <w:p w14:paraId="578FD6A1">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val="0"/>
          <w:bCs w:val="0"/>
          <w:color w:val="auto"/>
          <w:spacing w:val="-6"/>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倡导推广全民绿色低碳生活。</w:t>
      </w:r>
      <w:r>
        <w:rPr>
          <w:rFonts w:hint="eastAsia" w:ascii="仿宋_GB2312" w:hAnsi="仿宋_GB2312" w:eastAsia="仿宋_GB2312" w:cs="仿宋_GB2312"/>
          <w:b w:val="0"/>
          <w:bCs w:val="0"/>
          <w:color w:val="auto"/>
          <w:sz w:val="32"/>
          <w:szCs w:val="32"/>
          <w:highlight w:val="none"/>
          <w:lang w:val="en-US" w:eastAsia="zh-CN"/>
        </w:rPr>
        <w:t>实施建筑节能改造与绿色运营管理，推广高效节能技术和产品应用。完善城乡绿色交通基础设施网络，增加新能源公交车、出租车投放，优化公交线网与接驳系统，鼓励“公交+慢行”出行模式。加快建立完善生活垃圾分类投放、收集、运输、处理体系，推动宾阳县生活垃圾焚烧发电项目提质增效，持续提升城乡生活污水收集处理效能。广泛开展绿色低碳社会宣传，结合炮龙节等特色文化活动和“宾阳有礼”电商推广，普及节能节水、垃圾分类、反对浪费知识。深入开展低碳社区、绿色家庭、绿色学校等创建活动，探索推行碳积分等绿色消费激励措施，引导公众优先采购绿色产品，推动简约适度、绿色低碳的生</w:t>
      </w:r>
      <w:r>
        <w:rPr>
          <w:rFonts w:hint="eastAsia" w:ascii="仿宋_GB2312" w:hAnsi="仿宋_GB2312" w:eastAsia="仿宋_GB2312" w:cs="仿宋_GB2312"/>
          <w:b w:val="0"/>
          <w:bCs w:val="0"/>
          <w:color w:val="auto"/>
          <w:spacing w:val="-6"/>
          <w:sz w:val="32"/>
          <w:szCs w:val="32"/>
          <w:highlight w:val="none"/>
          <w:lang w:val="en-US" w:eastAsia="zh-CN"/>
        </w:rPr>
        <w:t>活方式融入日常，形成社会共同参与生态文明建设的良好风尚。</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A126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6FCC0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仿宋_GB2312" w:hAnsi="仿宋_GB2312" w:eastAsia="仿宋_GB2312" w:cs="仿宋_GB2312"/>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专栏12 生态环境提升工程重点项目</w:t>
            </w:r>
          </w:p>
          <w:p w14:paraId="1DEE01F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宾阳县农村污水处理项目、宾阳县城镇污水管网扩建工程、宾阳县城区直排口及截污沟改造工程、宾阳县建成区排水管网病害整治工程（一期、二期、三期）、宾阳县受污染水体生态治理工程、宾阳县受污染水体岸边截污改造配套基础设施工程、农村生活污水资源化利用项目、宾阳县生活垃圾焚烧发电项目。</w:t>
            </w:r>
          </w:p>
        </w:tc>
      </w:tr>
    </w:tbl>
    <w:p w14:paraId="231BEE9F">
      <w:pPr>
        <w:keepNext w:val="0"/>
        <w:keepLines w:val="0"/>
        <w:outlineLvl w:val="0"/>
        <w:rPr>
          <w:rFonts w:hint="eastAsia" w:ascii="黑体" w:hAnsi="黑体" w:eastAsia="黑体" w:cs="黑体"/>
          <w:b w:val="0"/>
          <w:bCs w:val="0"/>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bookmarkStart w:id="317" w:name="_Toc9660"/>
      <w:bookmarkStart w:id="318" w:name="_Toc23745"/>
      <w:bookmarkStart w:id="319" w:name="_Toc19971"/>
      <w:bookmarkStart w:id="320" w:name="_Toc1322"/>
    </w:p>
    <w:p w14:paraId="652083E2">
      <w:pPr>
        <w:keepNext w:val="0"/>
        <w:keepLines w:val="0"/>
        <w:outlineLvl w:val="0"/>
        <w:rPr>
          <w:rFonts w:hint="eastAsia" w:cs="Times New Roman"/>
          <w:color w:val="auto"/>
          <w:sz w:val="32"/>
          <w:szCs w:val="32"/>
          <w:highlight w:val="none"/>
          <w:lang w:val="en-US" w:eastAsia="zh-CN"/>
        </w:rPr>
      </w:pPr>
      <w:bookmarkStart w:id="321" w:name="_Toc24263"/>
      <w:r>
        <w:rPr>
          <w:rFonts w:hint="eastAsia" w:ascii="黑体" w:hAnsi="黑体" w:eastAsia="黑体" w:cs="黑体"/>
          <w:b w:val="0"/>
          <w:bCs w:val="0"/>
          <w:color w:val="auto"/>
          <w:sz w:val="32"/>
          <w:szCs w:val="32"/>
          <w:highlight w:val="none"/>
          <w:lang w:val="en-US" w:eastAsia="zh-CN"/>
        </w:rPr>
        <w:t xml:space="preserve">第十四章 </w:t>
      </w:r>
      <w:r>
        <w:rPr>
          <w:rFonts w:hint="eastAsia" w:ascii="黑体" w:hAnsi="黑体" w:eastAsia="黑体" w:cs="黑体"/>
          <w:b w:val="0"/>
          <w:bCs w:val="0"/>
          <w:color w:val="auto"/>
          <w:sz w:val="32"/>
          <w:szCs w:val="32"/>
          <w:highlight w:val="none"/>
          <w:u w:val="none" w:color="auto"/>
          <w:lang w:val="en-US" w:eastAsia="zh-CN"/>
        </w:rPr>
        <w:t>统筹发展和安全，建设更高水平平安宾阳</w:t>
      </w:r>
      <w:bookmarkEnd w:id="317"/>
      <w:bookmarkEnd w:id="318"/>
      <w:bookmarkEnd w:id="319"/>
      <w:bookmarkEnd w:id="320"/>
      <w:bookmarkEnd w:id="321"/>
    </w:p>
    <w:p w14:paraId="4B8600F8">
      <w:pPr>
        <w:keepNext/>
        <w:keepLines/>
        <w:pageBreakBefore w:val="0"/>
        <w:kinsoku/>
        <w:wordWrap/>
        <w:overflowPunct/>
        <w:topLinePunct w:val="0"/>
        <w:autoSpaceDE/>
        <w:autoSpaceDN/>
        <w:bidi w:val="0"/>
        <w:adjustRightInd/>
        <w:snapToGrid/>
        <w:spacing w:beforeLines="0" w:afterLines="0"/>
        <w:ind w:firstLine="640" w:firstLineChars="200"/>
        <w:jc w:val="left"/>
        <w:textAlignment w:val="auto"/>
        <w:outlineLvl w:val="9"/>
        <w:rPr>
          <w:rFonts w:hint="eastAsia" w:cs="Times New Roman"/>
          <w:color w:val="auto"/>
          <w:sz w:val="32"/>
          <w:szCs w:val="32"/>
          <w:highlight w:val="none"/>
          <w:lang w:eastAsia="zh-CN"/>
        </w:rPr>
      </w:pPr>
      <w:bookmarkStart w:id="322" w:name="_Toc11832"/>
      <w:bookmarkStart w:id="323" w:name="_Toc16250"/>
      <w:bookmarkStart w:id="324" w:name="_Toc25631"/>
      <w:r>
        <w:rPr>
          <w:rFonts w:hint="eastAsia" w:ascii="仿宋_GB2312" w:hAnsi="仿宋_GB2312" w:eastAsia="仿宋_GB2312" w:cs="仿宋_GB2312"/>
          <w:b w:val="0"/>
          <w:bCs/>
          <w:color w:val="auto"/>
          <w:sz w:val="32"/>
          <w:szCs w:val="32"/>
          <w:highlight w:val="none"/>
          <w:lang w:eastAsia="zh-CN"/>
        </w:rPr>
        <w:t>高水平治理与安全是宾阳县现代化建设的基本保障。必须深入贯彻总体国家安全观，坚持系统思维与问题导向，聚焦筑牢安全防线、健全基层体系、深化法治建设、提升动员能力等重点任务，系统推进更高水平的平安宾阳建设。通过全面提升县域风险防控能力、公共安全治理效能、基层治理现代化水平和全民国防意识，实现高质量发展和高水平安全良性互动，为建设壮美广西的宾阳篇章提供坚实可靠的安全屏障和稳定有序的社会环境。</w:t>
      </w:r>
    </w:p>
    <w:p w14:paraId="79D4EB15">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cs="Times New Roman"/>
          <w:color w:val="auto"/>
          <w:sz w:val="32"/>
          <w:szCs w:val="32"/>
          <w:highlight w:val="none"/>
        </w:rPr>
      </w:pPr>
      <w:bookmarkStart w:id="325" w:name="_Toc26360"/>
      <w:bookmarkStart w:id="326" w:name="_Toc30556"/>
      <w:bookmarkStart w:id="327" w:name="_Toc32442"/>
      <w:r>
        <w:rPr>
          <w:rFonts w:hint="eastAsia" w:cs="Times New Roman"/>
          <w:color w:val="auto"/>
          <w:sz w:val="32"/>
          <w:szCs w:val="32"/>
          <w:highlight w:val="none"/>
          <w:lang w:eastAsia="zh-CN"/>
        </w:rPr>
        <w:t>第一节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坚决维护县域安全稳定</w:t>
      </w:r>
      <w:bookmarkEnd w:id="322"/>
      <w:bookmarkEnd w:id="323"/>
      <w:bookmarkEnd w:id="324"/>
      <w:bookmarkEnd w:id="325"/>
      <w:bookmarkEnd w:id="326"/>
      <w:bookmarkEnd w:id="327"/>
    </w:p>
    <w:p w14:paraId="70F7D345">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全面落实总体国家安全观。</w:t>
      </w:r>
      <w:r>
        <w:rPr>
          <w:rFonts w:hint="default" w:cs="Times New Roman"/>
          <w:color w:val="auto"/>
          <w:sz w:val="32"/>
          <w:szCs w:val="32"/>
          <w:highlight w:val="none"/>
        </w:rPr>
        <w:t>严格执行国家安全责任制，将维护国家安全贯穿于县域各项工作全过程。重点防范和化解县域在政治、意识形态、经济、社会等领域的重大风险，严密防范境内外敌对势力渗透破坏活动，坚决筑牢县域政治安全屏障，牢牢掌握维护国家安全的主动权。</w:t>
      </w:r>
    </w:p>
    <w:p w14:paraId="6195D266">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健全风险监测预警处置机制。</w:t>
      </w:r>
      <w:r>
        <w:rPr>
          <w:rFonts w:hint="default" w:cs="Times New Roman"/>
          <w:color w:val="auto"/>
          <w:sz w:val="32"/>
          <w:szCs w:val="32"/>
          <w:highlight w:val="none"/>
        </w:rPr>
        <w:t>建立健全覆盖各领域、各部门的风险监测预警和联动处置机制。加强县域社会稳定风险评估和重点领域风险排查，提升对苗头性、倾向性问题的预判预警和源头化解能力。强化对网络空间、金融、能源、生态环境等领域风险的动态监测与协同应对，确保风险隐患早发现、早预警、早处置。</w:t>
      </w:r>
    </w:p>
    <w:p w14:paraId="47CA5C63">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筑牢意识形态与网络安全防线。</w:t>
      </w:r>
      <w:r>
        <w:rPr>
          <w:rFonts w:hint="default" w:cs="Times New Roman"/>
          <w:color w:val="auto"/>
          <w:sz w:val="32"/>
          <w:szCs w:val="32"/>
          <w:highlight w:val="none"/>
        </w:rPr>
        <w:t>严格落实意识形态工作责任制，加强思想文化阵地建设与管理。强化网络舆情监测引导和依法治理，严厉打击网络谣言和有害信息传播。深入开展国家安全宣传教育活动，推动国家安全教育进机关、进学校、进企业、进社区、进农村，增强全民国家安全意识和素养，筑牢国家安全人民防线。</w:t>
      </w:r>
    </w:p>
    <w:p w14:paraId="443E6230">
      <w:pPr>
        <w:pageBreakBefore w:val="0"/>
        <w:kinsoku/>
        <w:wordWrap/>
        <w:overflowPunct/>
        <w:topLinePunct w:val="0"/>
        <w:autoSpaceDE/>
        <w:autoSpaceDN/>
        <w:bidi w:val="0"/>
        <w:adjustRightInd/>
        <w:snapToGrid/>
        <w:spacing w:line="560" w:lineRule="exact"/>
        <w:textAlignment w:val="auto"/>
        <w:rPr>
          <w:rFonts w:cs="Times New Roman"/>
          <w:color w:val="auto"/>
          <w:sz w:val="32"/>
          <w:szCs w:val="32"/>
          <w:highlight w:val="none"/>
        </w:rPr>
      </w:pPr>
      <w:r>
        <w:rPr>
          <w:rFonts w:hint="default" w:cs="Times New Roman"/>
          <w:b/>
          <w:bCs/>
          <w:color w:val="auto"/>
          <w:sz w:val="32"/>
          <w:szCs w:val="32"/>
          <w:highlight w:val="none"/>
        </w:rPr>
        <w:t>深化社会治安防控体系建设。</w:t>
      </w:r>
      <w:r>
        <w:rPr>
          <w:rFonts w:hint="default" w:cs="Times New Roman"/>
          <w:color w:val="auto"/>
          <w:sz w:val="32"/>
          <w:szCs w:val="32"/>
          <w:highlight w:val="none"/>
        </w:rPr>
        <w:t>坚持专群结合、群防群治，完善立体化、智能化社会治安防控体系。依法严厉打击各类危害国家安全、社会稳定的犯罪活动，常态化推进扫黑除恶斗争。加强重点区域、重点场所、重点人群的治安管理和服务，深化基层平安创建活动，全力服务平安广西建设大局，为县域发展创造安全稳定的社会环境。</w:t>
      </w:r>
    </w:p>
    <w:p w14:paraId="13AB961E">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default" w:cs="Times New Roman"/>
          <w:color w:val="auto"/>
          <w:sz w:val="32"/>
          <w:szCs w:val="32"/>
          <w:highlight w:val="none"/>
        </w:rPr>
      </w:pPr>
      <w:bookmarkStart w:id="328" w:name="_Toc19497"/>
      <w:bookmarkStart w:id="329" w:name="_Toc5991"/>
      <w:bookmarkStart w:id="330" w:name="_Toc27603"/>
      <w:bookmarkStart w:id="331" w:name="_Toc21776"/>
      <w:bookmarkStart w:id="332" w:name="_Toc4850"/>
      <w:bookmarkStart w:id="333" w:name="_Toc24728"/>
      <w:r>
        <w:rPr>
          <w:rFonts w:hint="eastAsia" w:cs="Times New Roman"/>
          <w:color w:val="auto"/>
          <w:sz w:val="32"/>
          <w:szCs w:val="32"/>
          <w:highlight w:val="none"/>
          <w:lang w:eastAsia="zh-CN"/>
        </w:rPr>
        <w:t>第二节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稳妥化解县域突出风险</w:t>
      </w:r>
      <w:bookmarkEnd w:id="328"/>
      <w:bookmarkEnd w:id="329"/>
      <w:bookmarkEnd w:id="330"/>
      <w:bookmarkEnd w:id="331"/>
      <w:bookmarkEnd w:id="332"/>
      <w:bookmarkEnd w:id="333"/>
    </w:p>
    <w:p w14:paraId="3D0FB8A5">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健全县域风险防控机制。</w:t>
      </w:r>
      <w:r>
        <w:rPr>
          <w:rFonts w:hint="default" w:cs="Times New Roman"/>
          <w:color w:val="auto"/>
          <w:sz w:val="32"/>
          <w:szCs w:val="32"/>
          <w:highlight w:val="none"/>
        </w:rPr>
        <w:t>坚持系统观念和底线思维，健全覆盖经济、社会、生态等各领域的风险研判、预警、处置和责任机制。加强跨部门、跨层级的风险信息共享和协同应对，提升风险综合防范和处置能力，坚决守住不发生系统性风险的底线。</w:t>
      </w:r>
    </w:p>
    <w:p w14:paraId="5D0A7754">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加强政府债务管理与财政安全。</w:t>
      </w:r>
      <w:r>
        <w:rPr>
          <w:rFonts w:hint="default" w:cs="Times New Roman"/>
          <w:color w:val="auto"/>
          <w:sz w:val="32"/>
          <w:szCs w:val="32"/>
          <w:highlight w:val="none"/>
        </w:rPr>
        <w:t>严格执行政府债务限额管理和预算管理制度，坚决遏制隐性债务增量，稳妥化解存量债务。强化预算刚性约束和绩效管理，优化财政支出结构，将“三保”（保基本民生、保工资、保运转）支出作为财政优先保障的重点。全县党政机关要坚持厉行节约，带头过紧日子，把有限的财政资金用在发展紧要处、民生急需上。</w:t>
      </w:r>
    </w:p>
    <w:p w14:paraId="7DA451E3">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强化金融风险防范与处置。</w:t>
      </w:r>
      <w:r>
        <w:rPr>
          <w:rFonts w:hint="default" w:cs="Times New Roman"/>
          <w:color w:val="auto"/>
          <w:sz w:val="32"/>
          <w:szCs w:val="32"/>
          <w:highlight w:val="none"/>
        </w:rPr>
        <w:t>配合上级金融管理部门强化县域金融监管，重点加强对地方金融机构、金融活动以及各类交易场所的风险监测。持续开展防范和处置非法集资工作，加强金融知识普及和风险警示教育，保护人民群众财产安全，维护区域金融稳定。</w:t>
      </w:r>
    </w:p>
    <w:p w14:paraId="02AF571C">
      <w:pPr>
        <w:pageBreakBefore w:val="0"/>
        <w:kinsoku/>
        <w:wordWrap/>
        <w:overflowPunct/>
        <w:topLinePunct w:val="0"/>
        <w:autoSpaceDE/>
        <w:autoSpaceDN/>
        <w:bidi w:val="0"/>
        <w:adjustRightInd/>
        <w:snapToGrid/>
        <w:spacing w:line="560" w:lineRule="exact"/>
        <w:textAlignment w:val="auto"/>
        <w:rPr>
          <w:rFonts w:cs="Times New Roman"/>
          <w:color w:val="auto"/>
          <w:sz w:val="32"/>
          <w:szCs w:val="32"/>
          <w:highlight w:val="none"/>
        </w:rPr>
      </w:pPr>
      <w:r>
        <w:rPr>
          <w:rFonts w:hint="default" w:cs="Times New Roman"/>
          <w:b/>
          <w:bCs/>
          <w:color w:val="auto"/>
          <w:sz w:val="32"/>
          <w:szCs w:val="32"/>
          <w:highlight w:val="none"/>
        </w:rPr>
        <w:t>切实保障粮食和能源安全。</w:t>
      </w:r>
      <w:r>
        <w:rPr>
          <w:rFonts w:hint="default" w:cs="Times New Roman"/>
          <w:color w:val="auto"/>
          <w:sz w:val="32"/>
          <w:szCs w:val="32"/>
          <w:highlight w:val="none"/>
        </w:rPr>
        <w:t>坚决扛起粮食安全政治责任，严格落实耕地保护和永久基本农田特殊保护制度，稳定粮食种植面积和产量，加强粮食储备和应急保障能力建设。优化能源供应结构，提升能源储备和应急调峰能力，保障电力、燃气等稳定供应，筑牢经济社会发展的安全基石。</w:t>
      </w:r>
    </w:p>
    <w:p w14:paraId="39D4243A">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default" w:ascii="Arial" w:hAnsi="Arial" w:cs="Times New Roman"/>
          <w:color w:val="auto"/>
          <w:sz w:val="32"/>
          <w:szCs w:val="32"/>
          <w:highlight w:val="none"/>
          <w:lang w:eastAsia="zh-CN"/>
        </w:rPr>
      </w:pPr>
      <w:bookmarkStart w:id="334" w:name="_Toc9776"/>
      <w:bookmarkStart w:id="335" w:name="_Toc4407"/>
      <w:bookmarkStart w:id="336" w:name="_Toc3119"/>
      <w:bookmarkStart w:id="337" w:name="_Toc1086"/>
      <w:bookmarkStart w:id="338" w:name="_Toc11117"/>
      <w:bookmarkStart w:id="339" w:name="_Toc20389"/>
      <w:r>
        <w:rPr>
          <w:rFonts w:hint="eastAsia" w:cs="Times New Roman"/>
          <w:color w:val="auto"/>
          <w:sz w:val="32"/>
          <w:szCs w:val="32"/>
          <w:highlight w:val="none"/>
          <w:lang w:eastAsia="zh-CN"/>
        </w:rPr>
        <w:t>第三节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提升公共安全治理水平</w:t>
      </w:r>
      <w:bookmarkEnd w:id="334"/>
      <w:bookmarkEnd w:id="335"/>
      <w:bookmarkEnd w:id="336"/>
      <w:bookmarkEnd w:id="337"/>
      <w:bookmarkEnd w:id="338"/>
      <w:bookmarkEnd w:id="339"/>
    </w:p>
    <w:p w14:paraId="6AAE1EB7">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完善应急管理与公共安全体系。</w:t>
      </w:r>
      <w:r>
        <w:rPr>
          <w:rFonts w:hint="default" w:cs="Times New Roman"/>
          <w:color w:val="auto"/>
          <w:sz w:val="32"/>
          <w:szCs w:val="32"/>
          <w:highlight w:val="none"/>
        </w:rPr>
        <w:t>健全统一指挥、专常兼备、反应灵敏、上下联动的应急管理体制。加强县、镇、村三级应急指挥平台和救援队伍建设，完善应急预案体系，定期组织综合性应急演练。全面提升防灾减灾救灾能力，强化气象、地质、洪涝等自然灾害监测预警和风险普查成果应用。加强应急物资储备和调运保障体系建设，提高突发事件先期处置和应急救援效能。</w:t>
      </w:r>
    </w:p>
    <w:p w14:paraId="63A95DF1">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加强重点领域安全监管。</w:t>
      </w:r>
      <w:r>
        <w:rPr>
          <w:rFonts w:hint="default" w:cs="Times New Roman"/>
          <w:color w:val="auto"/>
          <w:sz w:val="32"/>
          <w:szCs w:val="32"/>
          <w:highlight w:val="none"/>
        </w:rPr>
        <w:t>严格落实安全生产责任制，聚焦道路交通、建筑施工、危险化学品、工贸企业等重点行业领域开展常态化风险隐患排查整治。深入推进消防安全治理，加强消防基础设施建设和日常监管。强化食品药品全链条安全监管，严厉打击制售假冒伪劣食品药品违法行为，保障人民群众生命健康安全。</w:t>
      </w:r>
    </w:p>
    <w:p w14:paraId="7694802C">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深化社会治安综合治理。</w:t>
      </w:r>
      <w:r>
        <w:rPr>
          <w:rFonts w:hint="default" w:cs="Times New Roman"/>
          <w:color w:val="auto"/>
          <w:sz w:val="32"/>
          <w:szCs w:val="32"/>
          <w:highlight w:val="none"/>
        </w:rPr>
        <w:t>健全立体化、智能化社会治安防控体系，推进县、镇综治中心规范化、实体化、智能化建设。</w:t>
      </w:r>
      <w:r>
        <w:rPr>
          <w:rFonts w:hint="eastAsia" w:cs="Times New Roman"/>
          <w:color w:val="auto"/>
          <w:sz w:val="32"/>
          <w:szCs w:val="32"/>
          <w:highlight w:val="none"/>
          <w:lang w:eastAsia="zh-CN"/>
        </w:rPr>
        <w:t>常态化开展扫黑除恶斗争</w:t>
      </w:r>
      <w:r>
        <w:rPr>
          <w:rFonts w:hint="default" w:cs="Times New Roman"/>
          <w:color w:val="auto"/>
          <w:sz w:val="32"/>
          <w:szCs w:val="32"/>
          <w:highlight w:val="none"/>
        </w:rPr>
        <w:t>和禁毒人民战争，依法严厉打击各类突出违法犯罪活动。建设“人工智能+反诈”防控体系，依托人工智能技术提升电诈案件侦办与预警劝阻能力，以AI赋能升级完善风控预警、协同治理机制，构建高效、智能、精准的反诈防控体系，全面提升公安机关打击治理电信网络诈骗犯罪的综合能力。</w:t>
      </w:r>
    </w:p>
    <w:p w14:paraId="617D22C6">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强化重点领域安全防护。</w:t>
      </w:r>
      <w:r>
        <w:rPr>
          <w:rFonts w:hint="default" w:cs="Times New Roman"/>
          <w:color w:val="auto"/>
          <w:sz w:val="32"/>
          <w:szCs w:val="32"/>
          <w:highlight w:val="none"/>
        </w:rPr>
        <w:t>加强学校、医院、车站、商场等重点场所和大型活动安全防护。加强对精神障碍患者、社区矫正对象、刑满释放人员等重点人群的服务管理，落实帮扶教育和管控措施。深化网络空间综合治理，依法打击网络犯罪和有害信息，加强公民个人信息保护，营造清朗网络空间。</w:t>
      </w:r>
    </w:p>
    <w:p w14:paraId="16856AA7">
      <w:pPr>
        <w:pageBreakBefore w:val="0"/>
        <w:kinsoku/>
        <w:wordWrap/>
        <w:overflowPunct/>
        <w:topLinePunct w:val="0"/>
        <w:autoSpaceDE/>
        <w:autoSpaceDN/>
        <w:bidi w:val="0"/>
        <w:adjustRightInd/>
        <w:snapToGrid/>
        <w:spacing w:line="560" w:lineRule="exact"/>
        <w:textAlignment w:val="auto"/>
        <w:rPr>
          <w:rFonts w:cs="Times New Roman"/>
          <w:color w:val="auto"/>
          <w:sz w:val="32"/>
          <w:szCs w:val="32"/>
          <w:highlight w:val="none"/>
        </w:rPr>
      </w:pPr>
      <w:r>
        <w:rPr>
          <w:rFonts w:hint="default" w:cs="Times New Roman"/>
          <w:b/>
          <w:bCs/>
          <w:color w:val="auto"/>
          <w:sz w:val="32"/>
          <w:szCs w:val="32"/>
          <w:highlight w:val="none"/>
        </w:rPr>
        <w:t>加强未成年人保护与犯罪预防。</w:t>
      </w:r>
      <w:r>
        <w:rPr>
          <w:rFonts w:hint="default" w:cs="Times New Roman"/>
          <w:color w:val="auto"/>
          <w:sz w:val="32"/>
          <w:szCs w:val="32"/>
          <w:highlight w:val="none"/>
        </w:rPr>
        <w:t>健全家庭、学校、社会、网络、政府、司法“六位一体”的未成年人保护工作格局。深入开展法治宣传教育和思想道德教育，加强校园及周边环境综合治理。完善未成年人司法保护和社会支持体系，依法严厉打击侵害未成年人违法犯罪，预防和减少未成年人违法犯罪行为。</w:t>
      </w:r>
    </w:p>
    <w:p w14:paraId="3D08675E">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hint="default" w:ascii="Arial" w:hAnsi="Arial" w:cs="Times New Roman"/>
          <w:color w:val="auto"/>
          <w:sz w:val="32"/>
          <w:szCs w:val="32"/>
          <w:highlight w:val="none"/>
          <w:lang w:eastAsia="zh-CN"/>
        </w:rPr>
      </w:pPr>
      <w:bookmarkStart w:id="340" w:name="_Toc10278"/>
      <w:bookmarkStart w:id="341" w:name="_Toc20887"/>
      <w:bookmarkStart w:id="342" w:name="_Toc4312"/>
      <w:bookmarkStart w:id="343" w:name="_Toc26330"/>
      <w:bookmarkStart w:id="344" w:name="_Toc16044"/>
      <w:bookmarkStart w:id="345" w:name="_Toc25181"/>
      <w:r>
        <w:rPr>
          <w:rFonts w:hint="eastAsia" w:cs="Times New Roman"/>
          <w:color w:val="auto"/>
          <w:sz w:val="32"/>
          <w:szCs w:val="32"/>
          <w:highlight w:val="none"/>
          <w:lang w:eastAsia="zh-CN"/>
        </w:rPr>
        <w:t>第四节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健全现</w:t>
      </w:r>
      <w:r>
        <w:rPr>
          <w:rFonts w:hint="eastAsia" w:ascii="楷体_GB2312" w:hAnsi="楷体_GB2312" w:cs="楷体_GB2312"/>
          <w:b/>
          <w:bCs/>
          <w:color w:val="auto"/>
          <w:sz w:val="32"/>
          <w:szCs w:val="32"/>
          <w:highlight w:val="none"/>
          <w:u w:val="none"/>
          <w:lang w:val="en-US" w:eastAsia="zh-CN"/>
        </w:rPr>
        <w:t>代化</w:t>
      </w:r>
      <w:r>
        <w:rPr>
          <w:rFonts w:hint="eastAsia" w:ascii="楷体_GB2312" w:hAnsi="楷体_GB2312" w:eastAsia="楷体_GB2312" w:cs="楷体_GB2312"/>
          <w:b/>
          <w:bCs/>
          <w:color w:val="auto"/>
          <w:sz w:val="32"/>
          <w:szCs w:val="32"/>
          <w:highlight w:val="none"/>
          <w:u w:val="none"/>
          <w:lang w:val="en-US" w:eastAsia="zh-CN"/>
        </w:rPr>
        <w:t>基层治理体系</w:t>
      </w:r>
      <w:bookmarkEnd w:id="340"/>
      <w:bookmarkEnd w:id="341"/>
      <w:bookmarkEnd w:id="342"/>
      <w:bookmarkEnd w:id="343"/>
      <w:bookmarkEnd w:id="344"/>
      <w:bookmarkEnd w:id="345"/>
    </w:p>
    <w:p w14:paraId="54AA5477">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坚持党对基层治理的全面领导。</w:t>
      </w:r>
      <w:r>
        <w:rPr>
          <w:rFonts w:hint="default" w:cs="Times New Roman"/>
          <w:color w:val="auto"/>
          <w:sz w:val="32"/>
          <w:szCs w:val="32"/>
          <w:highlight w:val="none"/>
        </w:rPr>
        <w:t>坚持和加强党对社会治理的全面领导，健全完善党组织统一领导、政府依法履责、各类组织积极协同、群众广泛参与的共建共治共享的社会治理制度。加强新经济组织、新社会组织、新就业群体党的建设，深化对新就业群体的联系服务。强化党建引领</w:t>
      </w:r>
      <w:r>
        <w:rPr>
          <w:rFonts w:hint="eastAsia" w:cs="Times New Roman"/>
          <w:color w:val="auto"/>
          <w:sz w:val="32"/>
          <w:szCs w:val="32"/>
          <w:highlight w:val="none"/>
          <w:lang w:eastAsia="zh-CN"/>
        </w:rPr>
        <w:t>，因地制宜推进“党建</w:t>
      </w:r>
      <w:r>
        <w:rPr>
          <w:rFonts w:hint="eastAsia" w:cs="Times New Roman"/>
          <w:color w:val="auto"/>
          <w:sz w:val="32"/>
          <w:szCs w:val="32"/>
          <w:highlight w:val="none"/>
          <w:lang w:val="en-US" w:eastAsia="zh-CN"/>
        </w:rPr>
        <w:t>+网格+大数据</w:t>
      </w:r>
      <w:r>
        <w:rPr>
          <w:rFonts w:hint="eastAsia" w:cs="Times New Roman"/>
          <w:color w:val="auto"/>
          <w:sz w:val="32"/>
          <w:szCs w:val="32"/>
          <w:highlight w:val="none"/>
          <w:lang w:eastAsia="zh-CN"/>
        </w:rPr>
        <w:t>”治理模式</w:t>
      </w:r>
      <w:r>
        <w:rPr>
          <w:rFonts w:hint="default" w:cs="Times New Roman"/>
          <w:color w:val="auto"/>
          <w:sz w:val="32"/>
          <w:szCs w:val="32"/>
          <w:highlight w:val="none"/>
        </w:rPr>
        <w:t>，</w:t>
      </w:r>
      <w:r>
        <w:rPr>
          <w:rFonts w:hint="eastAsia" w:cs="Times New Roman"/>
          <w:color w:val="auto"/>
          <w:sz w:val="32"/>
          <w:szCs w:val="32"/>
          <w:highlight w:val="none"/>
          <w:lang w:val="en-US" w:eastAsia="zh-CN"/>
        </w:rPr>
        <w:t>建强网格党组织，</w:t>
      </w:r>
      <w:r>
        <w:rPr>
          <w:rFonts w:hint="eastAsia" w:cs="Times New Roman"/>
          <w:color w:val="auto"/>
          <w:sz w:val="32"/>
          <w:szCs w:val="32"/>
          <w:highlight w:val="none"/>
          <w:lang w:eastAsia="zh-CN"/>
        </w:rPr>
        <w:t>推动网格党的组织和工作</w:t>
      </w:r>
      <w:r>
        <w:rPr>
          <w:rFonts w:hint="eastAsia" w:cs="Times New Roman"/>
          <w:color w:val="auto"/>
          <w:sz w:val="32"/>
          <w:szCs w:val="32"/>
          <w:highlight w:val="none"/>
          <w:lang w:val="en-US" w:eastAsia="zh-CN"/>
        </w:rPr>
        <w:t>在基层网格</w:t>
      </w:r>
      <w:r>
        <w:rPr>
          <w:rFonts w:hint="eastAsia" w:cs="Times New Roman"/>
          <w:color w:val="auto"/>
          <w:sz w:val="32"/>
          <w:szCs w:val="32"/>
          <w:highlight w:val="none"/>
          <w:lang w:eastAsia="zh-CN"/>
        </w:rPr>
        <w:t>全</w:t>
      </w:r>
      <w:r>
        <w:rPr>
          <w:rFonts w:hint="eastAsia" w:cs="Times New Roman"/>
          <w:color w:val="auto"/>
          <w:sz w:val="32"/>
          <w:szCs w:val="32"/>
          <w:highlight w:val="none"/>
          <w:lang w:val="en-US" w:eastAsia="zh-CN"/>
        </w:rPr>
        <w:t>面</w:t>
      </w:r>
      <w:r>
        <w:rPr>
          <w:rFonts w:hint="eastAsia" w:cs="Times New Roman"/>
          <w:color w:val="auto"/>
          <w:sz w:val="32"/>
          <w:szCs w:val="32"/>
          <w:highlight w:val="none"/>
          <w:lang w:eastAsia="zh-CN"/>
        </w:rPr>
        <w:t>覆盖，</w:t>
      </w:r>
      <w:r>
        <w:rPr>
          <w:rFonts w:hint="default" w:cs="Times New Roman"/>
          <w:color w:val="auto"/>
          <w:sz w:val="32"/>
          <w:szCs w:val="32"/>
          <w:highlight w:val="none"/>
        </w:rPr>
        <w:t>把党的政治优势、组织优势转化为基层治理效能。</w:t>
      </w:r>
    </w:p>
    <w:p w14:paraId="7BE30AE5">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健全基层权责清单与多元解纷机制。</w:t>
      </w:r>
      <w:r>
        <w:rPr>
          <w:rFonts w:hint="default" w:cs="Times New Roman"/>
          <w:color w:val="auto"/>
          <w:sz w:val="32"/>
          <w:szCs w:val="32"/>
          <w:highlight w:val="none"/>
        </w:rPr>
        <w:t>健全</w:t>
      </w:r>
      <w:r>
        <w:rPr>
          <w:rFonts w:hint="eastAsia" w:cs="Times New Roman"/>
          <w:color w:val="auto"/>
          <w:sz w:val="32"/>
          <w:szCs w:val="32"/>
          <w:highlight w:val="none"/>
          <w:lang w:val="en-US" w:eastAsia="zh-CN"/>
        </w:rPr>
        <w:t>乡</w:t>
      </w:r>
      <w:r>
        <w:rPr>
          <w:rFonts w:hint="default" w:cs="Times New Roman"/>
          <w:color w:val="auto"/>
          <w:sz w:val="32"/>
          <w:szCs w:val="32"/>
          <w:highlight w:val="none"/>
        </w:rPr>
        <w:t>镇职责清单和</w:t>
      </w:r>
      <w:r>
        <w:rPr>
          <w:rFonts w:hint="eastAsia" w:cs="Times New Roman"/>
          <w:color w:val="auto"/>
          <w:sz w:val="32"/>
          <w:szCs w:val="32"/>
          <w:highlight w:val="none"/>
          <w:lang w:val="en-US" w:eastAsia="zh-CN"/>
        </w:rPr>
        <w:t>村级</w:t>
      </w:r>
      <w:r>
        <w:rPr>
          <w:rFonts w:hint="default" w:cs="Times New Roman"/>
          <w:color w:val="auto"/>
          <w:sz w:val="32"/>
          <w:szCs w:val="32"/>
          <w:highlight w:val="none"/>
        </w:rPr>
        <w:t>工作事项准入机制，推动基层权责对等、资源匹配。坚持和发展新时代“枫桥经验”，完善人民调解、行政调解、司法调解衔接联动的矛盾纠纷多元化解机制。推进信访工作法治化，规范信访事项办理程序，引导群众依法理性表达诉求，努力将矛盾化解在基层、化解在萌芽状态。</w:t>
      </w:r>
    </w:p>
    <w:p w14:paraId="20541B69">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构建多元协同的基层治理格局。</w:t>
      </w:r>
      <w:r>
        <w:rPr>
          <w:rFonts w:hint="default" w:cs="Times New Roman"/>
          <w:color w:val="auto"/>
          <w:sz w:val="32"/>
          <w:szCs w:val="32"/>
          <w:highlight w:val="none"/>
        </w:rPr>
        <w:t>探索推广“五社联动”治理模式，加强社会工作专业人才队伍建设，建立健全“社工+志愿者”联动服务机制。发挥村规民约、居民公约的积极作用，加强家庭家教家风建设，持续推进移风易俗，培育文明乡风、良好家风、淳朴民风。健全社会心理服务体系和危机干预机制，促进社会和谐稳定。</w:t>
      </w:r>
    </w:p>
    <w:p w14:paraId="2232771E">
      <w:pPr>
        <w:pageBreakBefore w:val="0"/>
        <w:kinsoku/>
        <w:wordWrap/>
        <w:overflowPunct/>
        <w:topLinePunct w:val="0"/>
        <w:autoSpaceDE/>
        <w:autoSpaceDN/>
        <w:bidi w:val="0"/>
        <w:adjustRightInd/>
        <w:snapToGrid/>
        <w:spacing w:line="560" w:lineRule="exact"/>
        <w:textAlignment w:val="auto"/>
        <w:rPr>
          <w:rFonts w:cs="Times New Roman"/>
          <w:color w:val="auto"/>
          <w:sz w:val="32"/>
          <w:szCs w:val="32"/>
          <w:highlight w:val="none"/>
        </w:rPr>
      </w:pPr>
      <w:r>
        <w:rPr>
          <w:rFonts w:hint="default" w:cs="Times New Roman"/>
          <w:b/>
          <w:bCs/>
          <w:color w:val="auto"/>
          <w:sz w:val="32"/>
          <w:szCs w:val="32"/>
          <w:highlight w:val="none"/>
        </w:rPr>
        <w:t>提升基层智慧治理与服务能力。</w:t>
      </w:r>
      <w:r>
        <w:rPr>
          <w:rFonts w:hint="default" w:cs="Times New Roman"/>
          <w:color w:val="auto"/>
          <w:sz w:val="32"/>
          <w:szCs w:val="32"/>
          <w:highlight w:val="none"/>
        </w:rPr>
        <w:t>推动大数据、人工智能等现代科技手段与社会治理深度融合。依托县、镇综合指挥平台，提升基层事件智能发现、快速响应和协同处置能力。依托政务服务便民热线等公共服务平台功能，建立健全“民有所呼、我有所应”的快速响应和高效办理机制，提高基层精准化、精细化服务水平，不断增强人民群众的获得感、幸福感、安全感。</w:t>
      </w:r>
    </w:p>
    <w:p w14:paraId="6DD72281">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rPr>
          <w:rFonts w:hint="default" w:ascii="Arial" w:hAnsi="Arial" w:cs="Times New Roman"/>
          <w:color w:val="auto"/>
          <w:sz w:val="32"/>
          <w:szCs w:val="32"/>
          <w:highlight w:val="none"/>
          <w:lang w:eastAsia="zh-CN"/>
        </w:rPr>
      </w:pPr>
      <w:bookmarkStart w:id="346" w:name="_Toc5890"/>
      <w:bookmarkStart w:id="347" w:name="_Toc31515"/>
      <w:bookmarkStart w:id="348" w:name="_Toc30256"/>
      <w:bookmarkStart w:id="349" w:name="_Toc12153"/>
      <w:bookmarkStart w:id="350" w:name="_Toc12131"/>
      <w:bookmarkStart w:id="351" w:name="_Toc16980"/>
      <w:r>
        <w:rPr>
          <w:rFonts w:hint="eastAsia" w:cs="Times New Roman"/>
          <w:color w:val="auto"/>
          <w:sz w:val="32"/>
          <w:szCs w:val="32"/>
          <w:highlight w:val="none"/>
          <w:lang w:eastAsia="zh-CN"/>
        </w:rPr>
        <w:t>第五节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全面推进</w:t>
      </w:r>
      <w:r>
        <w:rPr>
          <w:rFonts w:hint="eastAsia" w:ascii="楷体" w:hAnsi="楷体" w:eastAsia="楷体" w:cs="楷体"/>
          <w:b/>
          <w:bCs/>
          <w:i w:val="0"/>
          <w:iCs w:val="0"/>
          <w:caps w:val="0"/>
          <w:color w:val="auto"/>
          <w:spacing w:val="0"/>
          <w:sz w:val="32"/>
          <w:szCs w:val="32"/>
          <w:highlight w:val="none"/>
          <w:shd w:val="clear" w:fill="FFFFFF"/>
        </w:rPr>
        <w:t>社会主义民主</w:t>
      </w:r>
      <w:r>
        <w:rPr>
          <w:rFonts w:hint="eastAsia" w:ascii="楷体_GB2312" w:hAnsi="楷体_GB2312" w:eastAsia="楷体_GB2312" w:cs="楷体_GB2312"/>
          <w:b/>
          <w:bCs/>
          <w:color w:val="auto"/>
          <w:sz w:val="32"/>
          <w:szCs w:val="32"/>
          <w:highlight w:val="none"/>
          <w:u w:val="none"/>
          <w:lang w:val="en-US" w:eastAsia="zh-CN"/>
        </w:rPr>
        <w:t>法治建设</w:t>
      </w:r>
      <w:bookmarkEnd w:id="346"/>
      <w:bookmarkEnd w:id="347"/>
      <w:bookmarkEnd w:id="348"/>
      <w:bookmarkEnd w:id="349"/>
      <w:bookmarkEnd w:id="350"/>
      <w:bookmarkEnd w:id="351"/>
    </w:p>
    <w:p w14:paraId="7C7E4075">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坚持和完善人民民主制度。</w:t>
      </w:r>
      <w:r>
        <w:rPr>
          <w:rFonts w:hint="default" w:cs="Times New Roman"/>
          <w:color w:val="auto"/>
          <w:sz w:val="32"/>
          <w:szCs w:val="32"/>
          <w:highlight w:val="none"/>
        </w:rPr>
        <w:t>坚持党的领导、人民当家作主、依法治国有机统一，积极践行全过程人民民主。坚持和完善人民代表大会制度，支持和保证县人大及其常委会依法行使职权，优化人大代表联络站布局与功能，畅通民意表达渠道，提升代表履职服务保障水平。坚持和完善中国共产党领导的多党合作和政治协商制度，发挥县政协专门协商机构作用，推进协商民主广泛多层制度化发展，更好凝聚共识。</w:t>
      </w:r>
    </w:p>
    <w:p w14:paraId="4DA47E11">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巩固和发展爱国统一战线。</w:t>
      </w:r>
      <w:r>
        <w:rPr>
          <w:rFonts w:hint="default" w:cs="Times New Roman"/>
          <w:color w:val="auto"/>
          <w:sz w:val="32"/>
          <w:szCs w:val="32"/>
          <w:highlight w:val="none"/>
        </w:rPr>
        <w:t>以构建完善大统战格局为抓手，巩固和发展最广泛的爱国统一战线。支持无党派人士充分发挥作用，做好新时代民族、宗教、侨务等工作。提升民族宗教事务治理法治化水平，贯彻落实侨务政策，深化与港澳台的经贸合作与人文交流，汇聚推动发展的强大合力。更好地发挥</w:t>
      </w:r>
      <w:r>
        <w:rPr>
          <w:rFonts w:hint="eastAsia" w:cs="Times New Roman"/>
          <w:color w:val="auto"/>
          <w:sz w:val="32"/>
          <w:szCs w:val="32"/>
          <w:highlight w:val="none"/>
          <w:lang w:val="en-US" w:eastAsia="zh-CN"/>
        </w:rPr>
        <w:t>工商联、</w:t>
      </w:r>
      <w:r>
        <w:rPr>
          <w:rFonts w:hint="default" w:cs="Times New Roman"/>
          <w:color w:val="auto"/>
          <w:sz w:val="32"/>
          <w:szCs w:val="32"/>
          <w:highlight w:val="none"/>
        </w:rPr>
        <w:t>工会、共青团、妇联等人民团体桥梁纽带作用，密切联系和服务群众。</w:t>
      </w:r>
    </w:p>
    <w:p w14:paraId="264A0FA6">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深入推进法治宾阳建设。</w:t>
      </w:r>
      <w:r>
        <w:rPr>
          <w:rFonts w:hint="default" w:cs="Times New Roman"/>
          <w:color w:val="auto"/>
          <w:sz w:val="32"/>
          <w:szCs w:val="32"/>
          <w:highlight w:val="none"/>
        </w:rPr>
        <w:t>全面深化法治政府建设，健全依法决策机制，推进行政执法规范化建设，提升执法质量和公信力。健全覆盖城乡的现代公共法律服务体系，优化县、镇、村三级公共法律服务实体平台和网络平台功能。加强法治宣传教育，</w:t>
      </w:r>
      <w:r>
        <w:rPr>
          <w:rFonts w:hint="eastAsia" w:cs="Times New Roman"/>
          <w:color w:val="auto"/>
          <w:sz w:val="32"/>
          <w:szCs w:val="32"/>
          <w:highlight w:val="none"/>
          <w:lang w:val="en-US" w:eastAsia="zh-CN"/>
        </w:rPr>
        <w:t>落实</w:t>
      </w:r>
      <w:r>
        <w:rPr>
          <w:rFonts w:hint="default" w:cs="Times New Roman"/>
          <w:color w:val="auto"/>
          <w:sz w:val="32"/>
          <w:szCs w:val="32"/>
          <w:highlight w:val="none"/>
        </w:rPr>
        <w:t>普法规划，增强全社会法治观念，营造尊法学法守法用法的良好氛围。</w:t>
      </w:r>
    </w:p>
    <w:p w14:paraId="1FC199F4">
      <w:pPr>
        <w:pageBreakBefore w:val="0"/>
        <w:kinsoku/>
        <w:wordWrap/>
        <w:overflowPunct/>
        <w:topLinePunct w:val="0"/>
        <w:autoSpaceDE/>
        <w:autoSpaceDN/>
        <w:bidi w:val="0"/>
        <w:adjustRightInd/>
        <w:snapToGrid/>
        <w:spacing w:line="560" w:lineRule="exact"/>
        <w:textAlignment w:val="auto"/>
        <w:rPr>
          <w:rFonts w:hint="default" w:cs="Times New Roman"/>
          <w:color w:val="auto"/>
          <w:sz w:val="32"/>
          <w:szCs w:val="32"/>
          <w:highlight w:val="none"/>
        </w:rPr>
      </w:pPr>
      <w:r>
        <w:rPr>
          <w:rFonts w:hint="default" w:cs="Times New Roman"/>
          <w:b/>
          <w:bCs/>
          <w:color w:val="auto"/>
          <w:sz w:val="32"/>
          <w:szCs w:val="32"/>
          <w:highlight w:val="none"/>
        </w:rPr>
        <w:t>健全基层民主与社会参与机制。</w:t>
      </w:r>
      <w:r>
        <w:rPr>
          <w:rFonts w:hint="default" w:cs="Times New Roman"/>
          <w:color w:val="auto"/>
          <w:sz w:val="32"/>
          <w:szCs w:val="32"/>
          <w:highlight w:val="none"/>
        </w:rPr>
        <w:t>健全基层党组织领导的基层群众自治机制，完善村（居）民会议、村（居）民代表会议制度，保障人民群众依法直接行使民主权利。健全民意吸纳、表达、反馈机制，拓宽群众参与基层治理渠道。支持各类社会组织依法参与社会治理和公共服务，形成基层治理合力。</w:t>
      </w:r>
    </w:p>
    <w:p w14:paraId="68AF1304">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rPr>
          <w:rFonts w:hint="default" w:ascii="Arial" w:hAnsi="Arial" w:cs="Times New Roman"/>
          <w:color w:val="auto"/>
          <w:sz w:val="32"/>
          <w:szCs w:val="32"/>
          <w:highlight w:val="none"/>
          <w:lang w:eastAsia="zh-CN"/>
        </w:rPr>
      </w:pPr>
      <w:bookmarkStart w:id="352" w:name="_Toc30233"/>
      <w:bookmarkStart w:id="353" w:name="_Toc4405"/>
      <w:bookmarkStart w:id="354" w:name="_Toc21267"/>
      <w:r>
        <w:rPr>
          <w:rFonts w:hint="eastAsia" w:cs="Times New Roman"/>
          <w:color w:val="auto"/>
          <w:sz w:val="32"/>
          <w:szCs w:val="32"/>
          <w:highlight w:val="none"/>
          <w:lang w:eastAsia="zh-CN"/>
        </w:rPr>
        <w:t>第</w:t>
      </w:r>
      <w:r>
        <w:rPr>
          <w:rFonts w:hint="eastAsia" w:cs="Times New Roman"/>
          <w:color w:val="auto"/>
          <w:sz w:val="32"/>
          <w:szCs w:val="32"/>
          <w:highlight w:val="none"/>
          <w:lang w:val="en-US" w:eastAsia="zh-CN"/>
        </w:rPr>
        <w:t>六</w:t>
      </w:r>
      <w:r>
        <w:rPr>
          <w:rFonts w:hint="eastAsia" w:cs="Times New Roman"/>
          <w:color w:val="auto"/>
          <w:sz w:val="32"/>
          <w:szCs w:val="32"/>
          <w:highlight w:val="none"/>
          <w:lang w:eastAsia="zh-CN"/>
        </w:rPr>
        <w:t>节</w:t>
      </w:r>
      <w:r>
        <w:rPr>
          <w:rFonts w:hint="eastAsia" w:cs="Times New Roman"/>
          <w:color w:val="auto"/>
          <w:sz w:val="32"/>
          <w:szCs w:val="32"/>
          <w:highlight w:val="none"/>
          <w:lang w:val="en-US" w:eastAsia="zh-CN"/>
        </w:rPr>
        <w:t xml:space="preserve"> </w:t>
      </w:r>
      <w:r>
        <w:rPr>
          <w:rFonts w:hint="eastAsia" w:ascii="楷体_GB2312" w:hAnsi="楷体_GB2312" w:eastAsia="楷体_GB2312" w:cs="楷体_GB2312"/>
          <w:b/>
          <w:bCs/>
          <w:color w:val="auto"/>
          <w:sz w:val="32"/>
          <w:szCs w:val="32"/>
          <w:highlight w:val="none"/>
          <w:u w:val="none"/>
          <w:lang w:val="en-US" w:eastAsia="zh-CN"/>
        </w:rPr>
        <w:t>提升国防动员能力</w:t>
      </w:r>
      <w:bookmarkEnd w:id="352"/>
      <w:bookmarkEnd w:id="353"/>
      <w:bookmarkEnd w:id="354"/>
    </w:p>
    <w:p w14:paraId="343A8E04">
      <w:pPr>
        <w:pageBreakBefore w:val="0"/>
        <w:kinsoku/>
        <w:wordWrap/>
        <w:overflowPunct/>
        <w:topLinePunct w:val="0"/>
        <w:autoSpaceDE/>
        <w:autoSpaceDN/>
        <w:bidi w:val="0"/>
        <w:adjustRightInd/>
        <w:snapToGrid/>
        <w:spacing w:line="560" w:lineRule="exact"/>
        <w:textAlignment w:val="auto"/>
        <w:rPr>
          <w:rFonts w:hint="eastAsia" w:cs="Times New Roman"/>
          <w:color w:val="auto"/>
          <w:sz w:val="32"/>
          <w:szCs w:val="32"/>
          <w:highlight w:val="none"/>
          <w:lang w:val="en-US" w:eastAsia="zh-CN"/>
        </w:rPr>
      </w:pPr>
      <w:r>
        <w:rPr>
          <w:rFonts w:hint="eastAsia" w:cs="Times New Roman"/>
          <w:b/>
          <w:bCs/>
          <w:color w:val="auto"/>
          <w:sz w:val="32"/>
          <w:szCs w:val="32"/>
          <w:highlight w:val="none"/>
          <w:lang w:val="en-US" w:eastAsia="zh-CN"/>
        </w:rPr>
        <w:t>落实党管武装与国防动员准备。</w:t>
      </w:r>
      <w:r>
        <w:rPr>
          <w:rFonts w:hint="eastAsia" w:cs="Times New Roman"/>
          <w:color w:val="auto"/>
          <w:sz w:val="32"/>
          <w:szCs w:val="32"/>
          <w:highlight w:val="none"/>
          <w:lang w:val="en-US" w:eastAsia="zh-CN"/>
        </w:rPr>
        <w:t>坚决落实党管武装根本原则和制度，健全完善党委统一领导、政府主导、军事机关协调、相关部门联动的国防动员工作机制。强化全县国防动员潜力调查与数据库建设，制定完善国防动员各类预案，加强预案动态管理和综合演练，提升国防动员平时服务、急时应急、战时应战的组织协调和快速响应能力。</w:t>
      </w:r>
    </w:p>
    <w:p w14:paraId="0CD5AC93">
      <w:pPr>
        <w:pageBreakBefore w:val="0"/>
        <w:kinsoku/>
        <w:wordWrap/>
        <w:overflowPunct/>
        <w:topLinePunct w:val="0"/>
        <w:autoSpaceDE/>
        <w:autoSpaceDN/>
        <w:bidi w:val="0"/>
        <w:adjustRightInd/>
        <w:snapToGrid/>
        <w:spacing w:line="560" w:lineRule="exact"/>
        <w:textAlignment w:val="auto"/>
        <w:rPr>
          <w:rFonts w:hint="eastAsia" w:cs="Times New Roman"/>
          <w:color w:val="auto"/>
          <w:sz w:val="32"/>
          <w:szCs w:val="32"/>
          <w:highlight w:val="none"/>
          <w:lang w:val="en-US" w:eastAsia="zh-CN"/>
        </w:rPr>
      </w:pPr>
      <w:r>
        <w:rPr>
          <w:rFonts w:hint="eastAsia" w:cs="Times New Roman"/>
          <w:b/>
          <w:bCs/>
          <w:color w:val="auto"/>
          <w:sz w:val="32"/>
          <w:szCs w:val="32"/>
          <w:highlight w:val="none"/>
          <w:lang w:val="en-US" w:eastAsia="zh-CN"/>
        </w:rPr>
        <w:t>加强人民防空建设与管理。</w:t>
      </w:r>
      <w:r>
        <w:rPr>
          <w:rFonts w:hint="eastAsia" w:cs="Times New Roman"/>
          <w:color w:val="auto"/>
          <w:sz w:val="32"/>
          <w:szCs w:val="32"/>
          <w:highlight w:val="none"/>
          <w:lang w:val="en-US" w:eastAsia="zh-CN"/>
        </w:rPr>
        <w:t>严格落实人民防空要求，加强人防指挥通信、专业队伍和疏散地域（基地）建设。严格人防工程规划、审批、建设和维护管理，确保防空地下室“应建尽建”、建管并重，提升城市综合防护能力。深入开展防空防灾知识宣传和技能培训，增强全社会防空防灾意识和自救互救能力。</w:t>
      </w:r>
    </w:p>
    <w:p w14:paraId="01A10094">
      <w:pPr>
        <w:pageBreakBefore w:val="0"/>
        <w:kinsoku/>
        <w:wordWrap/>
        <w:overflowPunct/>
        <w:topLinePunct w:val="0"/>
        <w:autoSpaceDE/>
        <w:autoSpaceDN/>
        <w:bidi w:val="0"/>
        <w:adjustRightInd/>
        <w:snapToGrid/>
        <w:spacing w:line="560" w:lineRule="exact"/>
        <w:textAlignment w:val="auto"/>
        <w:rPr>
          <w:rFonts w:hint="eastAsia" w:cs="Times New Roman"/>
          <w:color w:val="auto"/>
          <w:sz w:val="32"/>
          <w:szCs w:val="32"/>
          <w:highlight w:val="none"/>
          <w:lang w:val="en-US" w:eastAsia="zh-CN"/>
        </w:rPr>
      </w:pPr>
      <w:r>
        <w:rPr>
          <w:rFonts w:hint="eastAsia" w:cs="Times New Roman"/>
          <w:b/>
          <w:bCs/>
          <w:color w:val="auto"/>
          <w:sz w:val="32"/>
          <w:szCs w:val="32"/>
          <w:highlight w:val="none"/>
          <w:lang w:val="en-US" w:eastAsia="zh-CN"/>
        </w:rPr>
        <w:t>建强民兵队伍与应急应战能力。</w:t>
      </w:r>
      <w:r>
        <w:rPr>
          <w:rFonts w:hint="eastAsia" w:cs="Times New Roman"/>
          <w:color w:val="auto"/>
          <w:sz w:val="32"/>
          <w:szCs w:val="32"/>
          <w:highlight w:val="none"/>
          <w:lang w:val="en-US" w:eastAsia="zh-CN"/>
        </w:rPr>
        <w:t>坚持党管武装，建强编实基干民兵队伍，优化力量结构和布局。加强民兵应急力量建设，常态化开展专业训练和实战化演练，提高遂行抢险救灾、应急维稳等多样化任务的能力。完善民兵工作保障机制，将民兵建设融入地方应急管理体系，实现军地资源共享和优势互补。</w:t>
      </w:r>
    </w:p>
    <w:p w14:paraId="1F49D4B8">
      <w:pPr>
        <w:pageBreakBefore w:val="0"/>
        <w:kinsoku/>
        <w:wordWrap/>
        <w:overflowPunct/>
        <w:topLinePunct w:val="0"/>
        <w:autoSpaceDE/>
        <w:autoSpaceDN/>
        <w:bidi w:val="0"/>
        <w:adjustRightInd/>
        <w:snapToGrid/>
        <w:spacing w:line="560" w:lineRule="exact"/>
        <w:textAlignment w:val="auto"/>
        <w:rPr>
          <w:rFonts w:hint="eastAsia" w:cs="Times New Roman"/>
          <w:color w:val="auto"/>
          <w:sz w:val="32"/>
          <w:szCs w:val="32"/>
          <w:highlight w:val="none"/>
          <w:lang w:val="en-US" w:eastAsia="zh-CN"/>
        </w:rPr>
      </w:pPr>
      <w:r>
        <w:rPr>
          <w:rFonts w:hint="eastAsia" w:cs="Times New Roman"/>
          <w:b/>
          <w:bCs/>
          <w:color w:val="auto"/>
          <w:sz w:val="32"/>
          <w:szCs w:val="32"/>
          <w:highlight w:val="none"/>
          <w:lang w:val="en-US" w:eastAsia="zh-CN"/>
        </w:rPr>
        <w:t>深化全民国防教育与双拥共建。</w:t>
      </w:r>
      <w:r>
        <w:rPr>
          <w:rFonts w:hint="eastAsia" w:cs="Times New Roman"/>
          <w:color w:val="auto"/>
          <w:sz w:val="32"/>
          <w:szCs w:val="32"/>
          <w:highlight w:val="none"/>
          <w:lang w:val="en-US" w:eastAsia="zh-CN"/>
        </w:rPr>
        <w:t>将国防教育纳入国民教育体系和干部培训规划，建好用好国防教育基地，创新教育形式，增强全民国防观念。深化双拥共建，健全军地协调机制，全面落实优抚安置政策，完善县、镇、村三级退役军人服务保障体系，切实维护军人军属和退役军人合法权益，巩固发展军政军民团结良好局面。</w:t>
      </w:r>
    </w:p>
    <w:p w14:paraId="2D781F88">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b/>
          <w:bCs/>
          <w:color w:val="auto"/>
          <w:sz w:val="32"/>
          <w:szCs w:val="32"/>
          <w:highlight w:val="none"/>
          <w:lang w:val="en-US" w:eastAsia="zh-CN"/>
        </w:rPr>
        <w:sectPr>
          <w:pgSz w:w="11906" w:h="16838"/>
          <w:pgMar w:top="1440" w:right="1800" w:bottom="1440" w:left="1800" w:header="851" w:footer="992" w:gutter="0"/>
          <w:pgNumType w:fmt="numberInDash"/>
          <w:cols w:space="425" w:num="1"/>
          <w:docGrid w:type="lines" w:linePitch="312" w:charSpace="0"/>
        </w:sectPr>
      </w:pPr>
    </w:p>
    <w:p w14:paraId="08E65CA0">
      <w:pPr>
        <w:pStyle w:val="3"/>
        <w:pageBreakBefore w:val="0"/>
        <w:kinsoku/>
        <w:wordWrap/>
        <w:overflowPunct/>
        <w:topLinePunct w:val="0"/>
        <w:autoSpaceDE/>
        <w:autoSpaceDN/>
        <w:bidi w:val="0"/>
        <w:adjustRightInd/>
        <w:snapToGrid/>
        <w:spacing w:line="560" w:lineRule="exact"/>
        <w:ind w:firstLine="0" w:firstLineChars="0"/>
        <w:jc w:val="center"/>
        <w:textAlignment w:val="auto"/>
        <w:rPr>
          <w:rFonts w:hint="eastAsia" w:cs="Times New Roman"/>
          <w:b w:val="0"/>
          <w:bCs w:val="0"/>
          <w:color w:val="auto"/>
          <w:sz w:val="32"/>
          <w:szCs w:val="32"/>
          <w:highlight w:val="none"/>
          <w:lang w:val="en-US" w:eastAsia="zh-CN"/>
        </w:rPr>
      </w:pPr>
      <w:bookmarkStart w:id="355" w:name="_Toc31181"/>
      <w:bookmarkStart w:id="356" w:name="_Toc7022"/>
      <w:bookmarkStart w:id="357" w:name="_Toc12460"/>
      <w:r>
        <w:rPr>
          <w:rFonts w:hint="eastAsia" w:cs="Times New Roman"/>
          <w:b w:val="0"/>
          <w:bCs w:val="0"/>
          <w:color w:val="auto"/>
          <w:sz w:val="32"/>
          <w:szCs w:val="32"/>
          <w:highlight w:val="none"/>
          <w:lang w:val="en-US" w:eastAsia="zh-CN"/>
        </w:rPr>
        <w:t>第十五章 保障措施</w:t>
      </w:r>
      <w:bookmarkEnd w:id="355"/>
      <w:bookmarkEnd w:id="356"/>
      <w:bookmarkEnd w:id="357"/>
    </w:p>
    <w:p w14:paraId="300B6F56">
      <w:pPr>
        <w:keepNext w:val="0"/>
        <w:keepLines w:val="0"/>
        <w:pageBreakBefore w:val="0"/>
        <w:kinsoku/>
        <w:wordWrap/>
        <w:overflowPunct/>
        <w:topLinePunct w:val="0"/>
        <w:autoSpaceDE/>
        <w:autoSpaceDN/>
        <w:bidi w:val="0"/>
        <w:adjustRightInd/>
        <w:snapToGrid/>
        <w:spacing w:beforeLines="0" w:afterLines="0"/>
        <w:ind w:firstLine="640" w:firstLineChars="200"/>
        <w:jc w:val="both"/>
        <w:textAlignment w:val="auto"/>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谱写宾阳县“十五五”发展篇章，必须坚持和加强党的全面领导。要最广泛地动员和凝聚全县党员干部群众的智慧与力量，同心同德、锐意进取，确保规划各项目标任务高水平推进、高质量落实。</w:t>
      </w:r>
    </w:p>
    <w:p w14:paraId="6F2FAE78">
      <w:pPr>
        <w:pStyle w:val="4"/>
        <w:pageBreakBefore w:val="0"/>
        <w:kinsoku/>
        <w:wordWrap/>
        <w:overflowPunct/>
        <w:topLinePunct w:val="0"/>
        <w:autoSpaceDE/>
        <w:autoSpaceDN/>
        <w:bidi w:val="0"/>
        <w:adjustRightInd/>
        <w:snapToGrid/>
        <w:spacing w:beforeLines="0" w:afterLines="0" w:line="560" w:lineRule="exact"/>
        <w:ind w:firstLine="0" w:firstLineChars="0"/>
        <w:jc w:val="center"/>
        <w:textAlignment w:val="auto"/>
        <w:outlineLvl w:val="1"/>
        <w:rPr>
          <w:rFonts w:cs="Times New Roman"/>
          <w:color w:val="auto"/>
          <w:sz w:val="32"/>
          <w:szCs w:val="32"/>
          <w:highlight w:val="none"/>
        </w:rPr>
      </w:pPr>
      <w:bookmarkStart w:id="358" w:name="_Toc27912"/>
      <w:r>
        <w:rPr>
          <w:rFonts w:hint="eastAsia" w:cs="Times New Roman"/>
          <w:color w:val="auto"/>
          <w:sz w:val="32"/>
          <w:szCs w:val="32"/>
          <w:highlight w:val="none"/>
          <w:lang w:eastAsia="zh-CN"/>
        </w:rPr>
        <w:t>第一节</w:t>
      </w:r>
      <w:r>
        <w:rPr>
          <w:rFonts w:hint="eastAsia" w:cs="Times New Roman"/>
          <w:color w:val="auto"/>
          <w:sz w:val="32"/>
          <w:szCs w:val="32"/>
          <w:highlight w:val="none"/>
          <w:lang w:val="en-US" w:eastAsia="zh-CN"/>
        </w:rPr>
        <w:t xml:space="preserve"> </w:t>
      </w:r>
      <w:r>
        <w:rPr>
          <w:rFonts w:hint="eastAsia" w:ascii="仿宋_GB2312" w:hAnsi="仿宋_GB2312" w:cs="Times New Roman"/>
          <w:color w:val="auto"/>
          <w:kern w:val="0"/>
          <w:sz w:val="32"/>
          <w:szCs w:val="32"/>
          <w:highlight w:val="none"/>
          <w:lang w:eastAsia="zh-CN" w:bidi="ar"/>
        </w:rPr>
        <w:t>坚决维护党中央集中统一领导</w:t>
      </w:r>
      <w:bookmarkEnd w:id="358"/>
    </w:p>
    <w:p w14:paraId="29F207E6">
      <w:pPr>
        <w:keepNext w:val="0"/>
        <w:keepLines w:val="0"/>
        <w:ind w:firstLine="640" w:firstLineChars="200"/>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深入贯彻落实习近平总书记重要指示批示精神和党中央重大决策部署工作机制，全面落实自治区党委和南宁市委工作部署。持续用党的创新理论统一思想、统一意志、统一行动，组织实施党的创新理论学习教育计划，坚持理论武装同常态化长效化开展党史学习教育相结合。健全和落实民主集中制，</w:t>
      </w:r>
      <w:r>
        <w:rPr>
          <w:rFonts w:hint="eastAsia"/>
          <w:color w:val="auto"/>
          <w:highlight w:val="none"/>
        </w:rPr>
        <w:t>坚持科学决策、民主决策、依法决策。</w:t>
      </w:r>
      <w:r>
        <w:rPr>
          <w:rFonts w:hint="eastAsia" w:ascii="仿宋_GB2312" w:hAnsi="仿宋_GB2312" w:cs="Times New Roman"/>
          <w:color w:val="auto"/>
          <w:kern w:val="0"/>
          <w:sz w:val="32"/>
          <w:szCs w:val="32"/>
          <w:highlight w:val="none"/>
          <w:lang w:eastAsia="zh-CN" w:bidi="ar"/>
        </w:rPr>
        <w:t>加强对经济工作的全面领导和战略谋划。坚持正确的选人用人导向，</w:t>
      </w:r>
      <w:r>
        <w:rPr>
          <w:rFonts w:hint="eastAsia"/>
          <w:color w:val="auto"/>
          <w:highlight w:val="none"/>
        </w:rPr>
        <w:t>坚持把政治标准放在首位，树立和践行正确政绩观</w:t>
      </w:r>
      <w:r>
        <w:rPr>
          <w:rFonts w:hint="eastAsia" w:ascii="仿宋_GB2312" w:hAnsi="仿宋_GB2312" w:cs="Times New Roman"/>
          <w:color w:val="auto"/>
          <w:kern w:val="0"/>
          <w:sz w:val="32"/>
          <w:szCs w:val="32"/>
          <w:highlight w:val="none"/>
          <w:lang w:eastAsia="zh-CN" w:bidi="ar"/>
        </w:rPr>
        <w:t>。统筹推进各领域基层党组织建设，</w:t>
      </w:r>
      <w:r>
        <w:rPr>
          <w:rFonts w:hint="eastAsia"/>
          <w:color w:val="auto"/>
          <w:highlight w:val="none"/>
        </w:rPr>
        <w:t>增强党组织政治功能和组织功能，发挥党员先锋模范作用</w:t>
      </w:r>
      <w:r>
        <w:rPr>
          <w:rFonts w:hint="eastAsia" w:ascii="仿宋_GB2312" w:hAnsi="仿宋_GB2312" w:cs="Times New Roman"/>
          <w:color w:val="auto"/>
          <w:kern w:val="0"/>
          <w:sz w:val="32"/>
          <w:szCs w:val="32"/>
          <w:highlight w:val="none"/>
          <w:lang w:val="en-US" w:eastAsia="zh-CN" w:bidi="ar"/>
        </w:rPr>
        <w:t>。</w:t>
      </w:r>
      <w:r>
        <w:rPr>
          <w:rFonts w:hint="eastAsia" w:ascii="仿宋_GB2312" w:hAnsi="仿宋_GB2312" w:cs="Times New Roman"/>
          <w:color w:val="auto"/>
          <w:kern w:val="0"/>
          <w:sz w:val="32"/>
          <w:szCs w:val="32"/>
          <w:highlight w:val="none"/>
          <w:lang w:eastAsia="zh-CN" w:bidi="ar"/>
        </w:rPr>
        <w:t>锲而不舍落实中央八项规定及其实施细则精神，坚持党性党风党纪一起抓，把党的纪律建设融入日常教育管理监督，</w:t>
      </w:r>
      <w:r>
        <w:rPr>
          <w:rFonts w:hint="eastAsia"/>
          <w:color w:val="auto"/>
          <w:highlight w:val="none"/>
        </w:rPr>
        <w:t>深入开展整治形式主义为基层减负工作</w:t>
      </w:r>
      <w:r>
        <w:rPr>
          <w:rFonts w:hint="eastAsia" w:ascii="仿宋_GB2312" w:hAnsi="仿宋_GB2312" w:cs="Times New Roman"/>
          <w:color w:val="auto"/>
          <w:kern w:val="0"/>
          <w:sz w:val="32"/>
          <w:szCs w:val="32"/>
          <w:highlight w:val="none"/>
          <w:lang w:eastAsia="zh-CN" w:bidi="ar"/>
        </w:rPr>
        <w:t>。</w:t>
      </w:r>
      <w:r>
        <w:rPr>
          <w:rFonts w:hint="eastAsia" w:ascii="仿宋_GB2312" w:hAnsi="仿宋_GB2312" w:cs="Times New Roman"/>
          <w:color w:val="auto"/>
          <w:kern w:val="0"/>
          <w:sz w:val="32"/>
          <w:szCs w:val="32"/>
          <w:highlight w:val="none"/>
          <w:lang w:val="en-US" w:eastAsia="zh-CN" w:bidi="ar"/>
        </w:rPr>
        <w:t>深入</w:t>
      </w:r>
      <w:r>
        <w:rPr>
          <w:rFonts w:hint="eastAsia" w:ascii="仿宋_GB2312" w:hAnsi="仿宋_GB2312" w:cs="Times New Roman"/>
          <w:color w:val="auto"/>
          <w:kern w:val="0"/>
          <w:sz w:val="32"/>
          <w:szCs w:val="32"/>
          <w:highlight w:val="none"/>
          <w:lang w:eastAsia="zh-CN" w:bidi="ar"/>
        </w:rPr>
        <w:t>整治群众身边不正之风和腐败问题，加大风腐“同查”力度，坚决防止享乐主义、奢靡之风反弹回潮，深化整治形式主义、官僚主义，</w:t>
      </w:r>
      <w:r>
        <w:rPr>
          <w:rFonts w:hint="eastAsia" w:ascii="仿宋_GB2312" w:hAnsi="仿宋_GB2312" w:cs="Times New Roman"/>
          <w:color w:val="auto"/>
          <w:kern w:val="0"/>
          <w:sz w:val="32"/>
          <w:szCs w:val="32"/>
          <w:highlight w:val="none"/>
          <w:lang w:val="en-US" w:eastAsia="zh-CN" w:bidi="ar"/>
        </w:rPr>
        <w:t>强化制度执行</w:t>
      </w:r>
      <w:r>
        <w:rPr>
          <w:rFonts w:hint="eastAsia" w:ascii="仿宋_GB2312" w:hAnsi="仿宋_GB2312" w:cs="Times New Roman"/>
          <w:color w:val="auto"/>
          <w:kern w:val="0"/>
          <w:sz w:val="32"/>
          <w:szCs w:val="32"/>
          <w:highlight w:val="none"/>
          <w:lang w:eastAsia="zh-CN" w:bidi="ar"/>
        </w:rPr>
        <w:t>促进作风建设常态长效。一体推进不敢腐、不能腐、不想腐，加大腐败治理力度，健全不正之风和腐败问题同查同治机制，强化信访办理闭环管理，完善优化举报监督机制，积极宣传廉洁理念、廉洁典型，营造风清气正的政治生态。</w:t>
      </w:r>
    </w:p>
    <w:p w14:paraId="1AAF8C65">
      <w:pPr>
        <w:pStyle w:val="4"/>
        <w:ind w:firstLine="0" w:firstLineChars="0"/>
        <w:jc w:val="center"/>
        <w:outlineLvl w:val="1"/>
        <w:rPr>
          <w:rFonts w:hint="eastAsia" w:ascii="仿宋_GB2312" w:hAnsi="仿宋_GB2312" w:cs="Times New Roman"/>
          <w:color w:val="auto"/>
          <w:kern w:val="0"/>
          <w:sz w:val="32"/>
          <w:szCs w:val="32"/>
          <w:highlight w:val="none"/>
          <w:lang w:eastAsia="zh-CN" w:bidi="ar"/>
        </w:rPr>
      </w:pPr>
      <w:bookmarkStart w:id="359" w:name="_Toc26985"/>
      <w:r>
        <w:rPr>
          <w:rFonts w:hint="eastAsia" w:ascii="仿宋_GB2312" w:hAnsi="仿宋_GB2312" w:cs="Times New Roman"/>
          <w:color w:val="auto"/>
          <w:kern w:val="0"/>
          <w:sz w:val="32"/>
          <w:szCs w:val="32"/>
          <w:highlight w:val="none"/>
          <w:lang w:eastAsia="zh-CN" w:bidi="ar"/>
        </w:rPr>
        <w:t>第</w:t>
      </w:r>
      <w:r>
        <w:rPr>
          <w:rFonts w:hint="eastAsia" w:ascii="仿宋_GB2312" w:hAnsi="仿宋_GB2312" w:cs="Times New Roman"/>
          <w:color w:val="auto"/>
          <w:kern w:val="0"/>
          <w:sz w:val="32"/>
          <w:szCs w:val="32"/>
          <w:highlight w:val="none"/>
          <w:lang w:val="en-US" w:eastAsia="zh-CN" w:bidi="ar"/>
        </w:rPr>
        <w:t>二</w:t>
      </w:r>
      <w:r>
        <w:rPr>
          <w:rFonts w:hint="eastAsia" w:ascii="仿宋_GB2312" w:hAnsi="仿宋_GB2312" w:cs="Times New Roman"/>
          <w:color w:val="auto"/>
          <w:kern w:val="0"/>
          <w:sz w:val="32"/>
          <w:szCs w:val="32"/>
          <w:highlight w:val="none"/>
          <w:lang w:eastAsia="zh-CN" w:bidi="ar"/>
        </w:rPr>
        <w:t>节</w:t>
      </w:r>
      <w:r>
        <w:rPr>
          <w:rFonts w:hint="eastAsia" w:ascii="仿宋_GB2312" w:hAnsi="仿宋_GB2312" w:cs="Times New Roman"/>
          <w:color w:val="auto"/>
          <w:kern w:val="0"/>
          <w:sz w:val="32"/>
          <w:szCs w:val="32"/>
          <w:highlight w:val="none"/>
          <w:lang w:val="en-US" w:eastAsia="zh-CN" w:bidi="ar"/>
        </w:rPr>
        <w:t xml:space="preserve"> </w:t>
      </w:r>
      <w:r>
        <w:rPr>
          <w:rFonts w:hint="eastAsia" w:ascii="仿宋_GB2312" w:hAnsi="仿宋_GB2312" w:cs="Times New Roman"/>
          <w:color w:val="auto"/>
          <w:kern w:val="0"/>
          <w:sz w:val="32"/>
          <w:szCs w:val="32"/>
          <w:highlight w:val="none"/>
          <w:lang w:eastAsia="zh-CN" w:bidi="ar"/>
        </w:rPr>
        <w:t>建设高素质专业化干部队伍</w:t>
      </w:r>
      <w:bookmarkEnd w:id="359"/>
    </w:p>
    <w:p w14:paraId="31DB64FB">
      <w:pPr>
        <w:keepNext w:val="0"/>
        <w:keepLines w:val="0"/>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鲜明树立选人用人正确导向，大力选拔政治过硬、敢于担当、锐意改革、实绩突出、清正廉洁的干部</w:t>
      </w:r>
      <w:r>
        <w:rPr>
          <w:rFonts w:hint="eastAsia"/>
          <w:color w:val="auto"/>
          <w:highlight w:val="none"/>
        </w:rPr>
        <w:t>，</w:t>
      </w:r>
      <w:r>
        <w:rPr>
          <w:rFonts w:hint="eastAsia" w:ascii="仿宋_GB2312" w:hAnsi="仿宋_GB2312" w:cs="Times New Roman"/>
          <w:color w:val="auto"/>
          <w:kern w:val="0"/>
          <w:sz w:val="32"/>
          <w:szCs w:val="32"/>
          <w:highlight w:val="none"/>
          <w:lang w:eastAsia="zh-CN" w:bidi="ar"/>
        </w:rPr>
        <w:t>聚焦队伍建设，</w:t>
      </w:r>
      <w:r>
        <w:rPr>
          <w:rFonts w:hint="eastAsia" w:ascii="仿宋_GB2312" w:hAnsi="仿宋_GB2312" w:cs="Times New Roman"/>
          <w:color w:val="auto"/>
          <w:kern w:val="0"/>
          <w:sz w:val="32"/>
          <w:szCs w:val="32"/>
          <w:highlight w:val="none"/>
          <w:lang w:val="en-US" w:eastAsia="zh-CN" w:bidi="ar"/>
        </w:rPr>
        <w:t>强化</w:t>
      </w:r>
      <w:r>
        <w:rPr>
          <w:rFonts w:hint="eastAsia" w:ascii="仿宋_GB2312" w:hAnsi="仿宋_GB2312" w:cs="Times New Roman"/>
          <w:color w:val="auto"/>
          <w:kern w:val="0"/>
          <w:sz w:val="32"/>
          <w:szCs w:val="32"/>
          <w:highlight w:val="none"/>
          <w:lang w:eastAsia="zh-CN" w:bidi="ar"/>
        </w:rPr>
        <w:t>源头储备，着力培养一支想干事、肯干事、能干事的干部队伍。引导干部树立和践行正确政绩观，落实“三个区分开来”，激励干部开拓进取、干事创业，着力解决干部乱作为、不作为、不敢为、不善为问题。紧扣产业发展、民生保障、生态环境等重点任务，完善干部考核评价机制，严管厚爱结合、激励约束并重，</w:t>
      </w:r>
      <w:r>
        <w:rPr>
          <w:rFonts w:hint="eastAsia" w:ascii="仿宋_GB2312" w:hAnsi="仿宋_GB2312" w:eastAsia="仿宋_GB2312" w:cs="Times New Roman"/>
          <w:i w:val="0"/>
          <w:iCs w:val="0"/>
          <w:caps w:val="0"/>
          <w:color w:val="auto"/>
          <w:spacing w:val="0"/>
          <w:kern w:val="0"/>
          <w:sz w:val="32"/>
          <w:szCs w:val="32"/>
          <w:highlight w:val="none"/>
          <w:shd w:val="clear"/>
          <w:lang w:bidi="ar"/>
        </w:rPr>
        <w:t>坚持凭实绩用干部，科学评价干部政绩，</w:t>
      </w:r>
      <w:r>
        <w:rPr>
          <w:rFonts w:hint="eastAsia" w:ascii="仿宋_GB2312" w:hAnsi="仿宋_GB2312" w:cs="Times New Roman"/>
          <w:color w:val="auto"/>
          <w:kern w:val="0"/>
          <w:sz w:val="32"/>
          <w:szCs w:val="32"/>
          <w:highlight w:val="none"/>
          <w:lang w:eastAsia="zh-CN" w:bidi="ar"/>
        </w:rPr>
        <w:t>激发干部队伍内生动力和整体活力</w:t>
      </w:r>
      <w:r>
        <w:rPr>
          <w:rFonts w:hint="eastAsia" w:ascii="仿宋_GB2312" w:hAnsi="仿宋_GB2312" w:cs="Times New Roman"/>
          <w:i w:val="0"/>
          <w:iCs w:val="0"/>
          <w:caps w:val="0"/>
          <w:color w:val="auto"/>
          <w:spacing w:val="0"/>
          <w:kern w:val="0"/>
          <w:sz w:val="32"/>
          <w:szCs w:val="32"/>
          <w:highlight w:val="none"/>
          <w:shd w:val="clear"/>
          <w:lang w:eastAsia="zh-CN" w:bidi="ar"/>
        </w:rPr>
        <w:t>。</w:t>
      </w:r>
      <w:r>
        <w:rPr>
          <w:rFonts w:hint="eastAsia" w:ascii="仿宋_GB2312" w:hAnsi="仿宋_GB2312" w:eastAsia="仿宋_GB2312" w:cs="Times New Roman"/>
          <w:i w:val="0"/>
          <w:iCs w:val="0"/>
          <w:caps w:val="0"/>
          <w:color w:val="auto"/>
          <w:spacing w:val="0"/>
          <w:kern w:val="0"/>
          <w:sz w:val="32"/>
          <w:szCs w:val="32"/>
          <w:highlight w:val="none"/>
          <w:shd w:val="clear"/>
          <w:lang w:eastAsia="zh-CN" w:bidi="ar"/>
        </w:rPr>
        <w:t>抓好年轻干部培养工作，</w:t>
      </w:r>
      <w:r>
        <w:rPr>
          <w:rFonts w:hint="eastAsia" w:ascii="仿宋_GB2312" w:hAnsi="仿宋_GB2312" w:cs="Times New Roman"/>
          <w:color w:val="auto"/>
          <w:kern w:val="0"/>
          <w:sz w:val="32"/>
          <w:szCs w:val="32"/>
          <w:highlight w:val="none"/>
          <w:lang w:eastAsia="zh-CN" w:bidi="ar"/>
        </w:rPr>
        <w:t>强化系统的教育培训和实践锻炼</w:t>
      </w:r>
      <w:r>
        <w:rPr>
          <w:rFonts w:hint="eastAsia" w:ascii="仿宋_GB2312" w:hAnsi="仿宋_GB2312" w:eastAsia="仿宋_GB2312" w:cs="Times New Roman"/>
          <w:i w:val="0"/>
          <w:iCs w:val="0"/>
          <w:caps w:val="0"/>
          <w:color w:val="auto"/>
          <w:spacing w:val="0"/>
          <w:kern w:val="0"/>
          <w:sz w:val="32"/>
          <w:szCs w:val="32"/>
          <w:highlight w:val="none"/>
          <w:shd w:val="clear"/>
          <w:lang w:bidi="ar"/>
        </w:rPr>
        <w:t>，注重思想淬炼与专业赋能</w:t>
      </w:r>
      <w:r>
        <w:rPr>
          <w:rFonts w:hint="eastAsia" w:ascii="仿宋_GB2312" w:hAnsi="仿宋_GB2312" w:eastAsia="仿宋_GB2312" w:cs="Times New Roman"/>
          <w:i w:val="0"/>
          <w:iCs w:val="0"/>
          <w:caps w:val="0"/>
          <w:color w:val="auto"/>
          <w:spacing w:val="0"/>
          <w:kern w:val="0"/>
          <w:sz w:val="32"/>
          <w:szCs w:val="32"/>
          <w:highlight w:val="none"/>
          <w:shd w:val="clear"/>
          <w:lang w:eastAsia="zh-CN" w:bidi="ar"/>
        </w:rPr>
        <w:t>，</w:t>
      </w:r>
      <w:r>
        <w:rPr>
          <w:rFonts w:hint="eastAsia" w:ascii="仿宋_GB2312" w:hAnsi="仿宋_GB2312" w:eastAsia="仿宋_GB2312" w:cs="Times New Roman"/>
          <w:i w:val="0"/>
          <w:iCs w:val="0"/>
          <w:caps w:val="0"/>
          <w:color w:val="auto"/>
          <w:spacing w:val="0"/>
          <w:kern w:val="0"/>
          <w:sz w:val="32"/>
          <w:szCs w:val="32"/>
          <w:highlight w:val="none"/>
          <w:shd w:val="clear"/>
          <w:lang w:bidi="ar"/>
        </w:rPr>
        <w:t>推动干部在基层一线、关键岗位和复杂环境中经风雨、长才干，为高质量发展提供坚实队伍支撑。</w:t>
      </w:r>
    </w:p>
    <w:p w14:paraId="6E145B67">
      <w:pPr>
        <w:pStyle w:val="4"/>
        <w:ind w:firstLine="0" w:firstLineChars="0"/>
        <w:jc w:val="center"/>
        <w:outlineLvl w:val="1"/>
        <w:rPr>
          <w:rFonts w:hint="eastAsia" w:ascii="仿宋_GB2312" w:hAnsi="仿宋_GB2312" w:cs="Times New Roman"/>
          <w:color w:val="auto"/>
          <w:kern w:val="0"/>
          <w:sz w:val="32"/>
          <w:szCs w:val="32"/>
          <w:highlight w:val="none"/>
          <w:lang w:eastAsia="zh-CN" w:bidi="ar"/>
        </w:rPr>
      </w:pPr>
      <w:bookmarkStart w:id="360" w:name="_Toc3365"/>
      <w:r>
        <w:rPr>
          <w:rFonts w:hint="eastAsia" w:ascii="仿宋_GB2312" w:hAnsi="仿宋_GB2312" w:cs="Times New Roman"/>
          <w:color w:val="auto"/>
          <w:kern w:val="0"/>
          <w:sz w:val="32"/>
          <w:szCs w:val="32"/>
          <w:highlight w:val="none"/>
          <w:lang w:eastAsia="zh-CN" w:bidi="ar"/>
        </w:rPr>
        <w:t>第</w:t>
      </w:r>
      <w:r>
        <w:rPr>
          <w:rFonts w:hint="eastAsia" w:ascii="仿宋_GB2312" w:hAnsi="仿宋_GB2312" w:cs="Times New Roman"/>
          <w:color w:val="auto"/>
          <w:kern w:val="0"/>
          <w:sz w:val="32"/>
          <w:szCs w:val="32"/>
          <w:highlight w:val="none"/>
          <w:lang w:val="en-US" w:eastAsia="zh-CN" w:bidi="ar"/>
        </w:rPr>
        <w:t>三</w:t>
      </w:r>
      <w:r>
        <w:rPr>
          <w:rFonts w:hint="eastAsia" w:ascii="仿宋_GB2312" w:hAnsi="仿宋_GB2312" w:cs="Times New Roman"/>
          <w:color w:val="auto"/>
          <w:kern w:val="0"/>
          <w:sz w:val="32"/>
          <w:szCs w:val="32"/>
          <w:highlight w:val="none"/>
          <w:lang w:eastAsia="zh-CN" w:bidi="ar"/>
        </w:rPr>
        <w:t>节</w:t>
      </w:r>
      <w:r>
        <w:rPr>
          <w:rFonts w:hint="eastAsia" w:ascii="仿宋_GB2312" w:hAnsi="仿宋_GB2312" w:cs="Times New Roman"/>
          <w:color w:val="auto"/>
          <w:kern w:val="0"/>
          <w:sz w:val="32"/>
          <w:szCs w:val="32"/>
          <w:highlight w:val="none"/>
          <w:lang w:val="en-US" w:eastAsia="zh-CN" w:bidi="ar"/>
        </w:rPr>
        <w:t xml:space="preserve"> </w:t>
      </w:r>
      <w:r>
        <w:rPr>
          <w:rFonts w:hint="eastAsia" w:ascii="仿宋_GB2312" w:hAnsi="仿宋_GB2312" w:cs="Times New Roman"/>
          <w:color w:val="auto"/>
          <w:kern w:val="0"/>
          <w:sz w:val="32"/>
          <w:szCs w:val="32"/>
          <w:highlight w:val="none"/>
          <w:lang w:eastAsia="zh-CN" w:bidi="ar"/>
        </w:rPr>
        <w:t>健全规划组织体系</w:t>
      </w:r>
      <w:bookmarkEnd w:id="360"/>
    </w:p>
    <w:p w14:paraId="6FFFCC0A">
      <w:pPr>
        <w:keepNext w:val="0"/>
        <w:keepLines w:val="0"/>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成立专门的规划实施领导小组，明确各部门职责，构建起政府主导、部门联动的工作格局，确保规划目标与政策措施有效衔接、上下贯通、执行有力。科学制定“十五五”规划及专项规划，</w:t>
      </w:r>
      <w:r>
        <w:rPr>
          <w:rFonts w:hint="eastAsia" w:ascii="仿宋_GB2312" w:hAnsi="仿宋_GB2312" w:cs="Times New Roman"/>
          <w:i w:val="0"/>
          <w:iCs w:val="0"/>
          <w:caps w:val="0"/>
          <w:color w:val="auto"/>
          <w:spacing w:val="0"/>
          <w:kern w:val="0"/>
          <w:sz w:val="32"/>
          <w:szCs w:val="32"/>
          <w:highlight w:val="none"/>
          <w:shd w:val="clear"/>
          <w:lang w:val="en-US" w:eastAsia="zh-CN" w:bidi="ar"/>
        </w:rPr>
        <w:t>推</w:t>
      </w:r>
      <w:r>
        <w:rPr>
          <w:rFonts w:hint="eastAsia" w:ascii="仿宋_GB2312" w:hAnsi="仿宋_GB2312" w:eastAsia="仿宋_GB2312" w:cs="Times New Roman"/>
          <w:i w:val="0"/>
          <w:iCs w:val="0"/>
          <w:caps w:val="0"/>
          <w:color w:val="auto"/>
          <w:spacing w:val="0"/>
          <w:kern w:val="0"/>
          <w:sz w:val="32"/>
          <w:szCs w:val="32"/>
          <w:highlight w:val="none"/>
          <w:shd w:val="clear"/>
          <w:lang w:eastAsia="zh-CN" w:bidi="ar"/>
        </w:rPr>
        <w:t>进规划纲要在特定领域的细化落实，明确该领域的发展方向、目标、重点任务与政策措施</w:t>
      </w:r>
      <w:r>
        <w:rPr>
          <w:rFonts w:hint="eastAsia" w:ascii="仿宋_GB2312" w:hAnsi="仿宋_GB2312" w:cs="Times New Roman"/>
          <w:i w:val="0"/>
          <w:iCs w:val="0"/>
          <w:caps w:val="0"/>
          <w:color w:val="auto"/>
          <w:spacing w:val="0"/>
          <w:kern w:val="0"/>
          <w:sz w:val="32"/>
          <w:szCs w:val="32"/>
          <w:highlight w:val="none"/>
          <w:shd w:val="clear"/>
          <w:lang w:eastAsia="zh-CN" w:bidi="ar"/>
        </w:rPr>
        <w:t>，</w:t>
      </w:r>
      <w:r>
        <w:rPr>
          <w:rFonts w:hint="eastAsia" w:ascii="仿宋_GB2312" w:hAnsi="仿宋_GB2312" w:cs="Times New Roman"/>
          <w:color w:val="auto"/>
          <w:kern w:val="0"/>
          <w:sz w:val="32"/>
          <w:szCs w:val="32"/>
          <w:highlight w:val="none"/>
          <w:lang w:eastAsia="zh-CN" w:bidi="ar"/>
        </w:rPr>
        <w:t>构建衔接统一的规划体系。强化绩效考核的导向性与约束力，将规划任务完成情况纳入绩效关键依据，凝聚起上下贯通、齐抓共管的强大工作合力，全力保障规划蓝图转化为发展实效。</w:t>
      </w:r>
    </w:p>
    <w:p w14:paraId="5BBBF4ED">
      <w:pPr>
        <w:pStyle w:val="4"/>
        <w:ind w:firstLine="0" w:firstLineChars="0"/>
        <w:jc w:val="center"/>
        <w:outlineLvl w:val="1"/>
        <w:rPr>
          <w:rFonts w:hint="eastAsia" w:ascii="仿宋_GB2312" w:hAnsi="仿宋_GB2312" w:cs="Times New Roman"/>
          <w:color w:val="auto"/>
          <w:kern w:val="0"/>
          <w:sz w:val="32"/>
          <w:szCs w:val="32"/>
          <w:highlight w:val="none"/>
          <w:lang w:eastAsia="zh-CN" w:bidi="ar"/>
        </w:rPr>
      </w:pPr>
      <w:bookmarkStart w:id="361" w:name="_Toc20996"/>
      <w:r>
        <w:rPr>
          <w:rFonts w:hint="eastAsia" w:ascii="仿宋_GB2312" w:hAnsi="仿宋_GB2312" w:cs="Times New Roman"/>
          <w:color w:val="auto"/>
          <w:kern w:val="0"/>
          <w:sz w:val="32"/>
          <w:szCs w:val="32"/>
          <w:highlight w:val="none"/>
          <w:lang w:eastAsia="zh-CN" w:bidi="ar"/>
        </w:rPr>
        <w:t>第</w:t>
      </w:r>
      <w:r>
        <w:rPr>
          <w:rFonts w:hint="eastAsia" w:ascii="仿宋_GB2312" w:hAnsi="仿宋_GB2312" w:cs="Times New Roman"/>
          <w:color w:val="auto"/>
          <w:kern w:val="0"/>
          <w:sz w:val="32"/>
          <w:szCs w:val="32"/>
          <w:highlight w:val="none"/>
          <w:lang w:val="en-US" w:eastAsia="zh-CN" w:bidi="ar"/>
        </w:rPr>
        <w:t>四</w:t>
      </w:r>
      <w:r>
        <w:rPr>
          <w:rFonts w:hint="eastAsia" w:ascii="仿宋_GB2312" w:hAnsi="仿宋_GB2312" w:cs="Times New Roman"/>
          <w:color w:val="auto"/>
          <w:kern w:val="0"/>
          <w:sz w:val="32"/>
          <w:szCs w:val="32"/>
          <w:highlight w:val="none"/>
          <w:lang w:eastAsia="zh-CN" w:bidi="ar"/>
        </w:rPr>
        <w:t>节</w:t>
      </w:r>
      <w:r>
        <w:rPr>
          <w:rFonts w:hint="eastAsia" w:ascii="仿宋_GB2312" w:hAnsi="仿宋_GB2312" w:cs="Times New Roman"/>
          <w:color w:val="auto"/>
          <w:kern w:val="0"/>
          <w:sz w:val="32"/>
          <w:szCs w:val="32"/>
          <w:highlight w:val="none"/>
          <w:lang w:val="en-US" w:eastAsia="zh-CN" w:bidi="ar"/>
        </w:rPr>
        <w:t xml:space="preserve"> </w:t>
      </w:r>
      <w:r>
        <w:rPr>
          <w:rFonts w:hint="eastAsia" w:ascii="仿宋_GB2312" w:hAnsi="仿宋_GB2312" w:cs="Times New Roman"/>
          <w:color w:val="auto"/>
          <w:kern w:val="0"/>
          <w:sz w:val="32"/>
          <w:szCs w:val="32"/>
          <w:highlight w:val="none"/>
          <w:lang w:eastAsia="zh-CN" w:bidi="ar"/>
        </w:rPr>
        <w:t>完善规划落实机制</w:t>
      </w:r>
      <w:bookmarkEnd w:id="361"/>
    </w:p>
    <w:p w14:paraId="5A73DBAB">
      <w:pPr>
        <w:keepNext w:val="0"/>
        <w:keepLines w:val="0"/>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健全政策协调机制，</w:t>
      </w:r>
      <w:r>
        <w:rPr>
          <w:rFonts w:hint="eastAsia" w:ascii="仿宋_GB2312" w:hAnsi="仿宋_GB2312" w:eastAsia="仿宋_GB2312" w:cs="Times New Roman"/>
          <w:i w:val="0"/>
          <w:iCs w:val="0"/>
          <w:caps w:val="0"/>
          <w:color w:val="auto"/>
          <w:spacing w:val="0"/>
          <w:kern w:val="0"/>
          <w:sz w:val="32"/>
          <w:szCs w:val="32"/>
          <w:highlight w:val="none"/>
          <w:shd w:val="clear"/>
          <w:lang w:bidi="ar"/>
        </w:rPr>
        <w:t>构建起定位清晰、功能互补、衔接统一的</w:t>
      </w:r>
      <w:r>
        <w:rPr>
          <w:rFonts w:hint="eastAsia" w:ascii="仿宋_GB2312" w:hAnsi="仿宋_GB2312" w:cs="Times New Roman"/>
          <w:i w:val="0"/>
          <w:iCs w:val="0"/>
          <w:caps w:val="0"/>
          <w:color w:val="auto"/>
          <w:spacing w:val="0"/>
          <w:kern w:val="0"/>
          <w:sz w:val="32"/>
          <w:szCs w:val="32"/>
          <w:highlight w:val="none"/>
          <w:shd w:val="clear"/>
          <w:lang w:val="en-US" w:eastAsia="zh-CN" w:bidi="ar"/>
        </w:rPr>
        <w:t>政策</w:t>
      </w:r>
      <w:r>
        <w:rPr>
          <w:rFonts w:hint="eastAsia" w:ascii="仿宋_GB2312" w:hAnsi="仿宋_GB2312" w:eastAsia="仿宋_GB2312" w:cs="Times New Roman"/>
          <w:i w:val="0"/>
          <w:iCs w:val="0"/>
          <w:caps w:val="0"/>
          <w:color w:val="auto"/>
          <w:spacing w:val="0"/>
          <w:kern w:val="0"/>
          <w:sz w:val="32"/>
          <w:szCs w:val="32"/>
          <w:highlight w:val="none"/>
          <w:shd w:val="clear"/>
          <w:lang w:bidi="ar"/>
        </w:rPr>
        <w:t>体系</w:t>
      </w:r>
      <w:r>
        <w:rPr>
          <w:rFonts w:hint="eastAsia" w:ascii="仿宋_GB2312" w:hAnsi="仿宋_GB2312" w:eastAsia="仿宋_GB2312" w:cs="Times New Roman"/>
          <w:i w:val="0"/>
          <w:iCs w:val="0"/>
          <w:caps w:val="0"/>
          <w:color w:val="auto"/>
          <w:spacing w:val="0"/>
          <w:kern w:val="0"/>
          <w:sz w:val="32"/>
          <w:szCs w:val="32"/>
          <w:highlight w:val="none"/>
          <w:shd w:val="clear"/>
          <w:lang w:eastAsia="zh-CN" w:bidi="ar"/>
        </w:rPr>
        <w:t>，</w:t>
      </w:r>
      <w:r>
        <w:rPr>
          <w:rFonts w:hint="eastAsia" w:ascii="仿宋_GB2312" w:hAnsi="仿宋_GB2312" w:cs="Times New Roman"/>
          <w:color w:val="auto"/>
          <w:kern w:val="0"/>
          <w:sz w:val="32"/>
          <w:szCs w:val="32"/>
          <w:highlight w:val="none"/>
          <w:lang w:eastAsia="zh-CN" w:bidi="ar"/>
        </w:rPr>
        <w:t>确保党中央、自治区党委和南宁市委决策落地。建立垂直协同机制，强化信息共享、服务标准，推动优势产业集群发展，促进区域特色互补与链式协同，服务自治区、南宁市的产业布局。健全跨域协调机制，促进政策协同，健全跨部门协同联动机制，强化信息互通与工作会商，有效整合行政资源。落实“四个尊重”方针，最广泛最充分地调动一切积极因素，激发全社会创新创造活力，形成人尽其才、合力攻坚的良好局面。</w:t>
      </w:r>
    </w:p>
    <w:p w14:paraId="5319DF02">
      <w:pPr>
        <w:pStyle w:val="4"/>
        <w:ind w:firstLine="0" w:firstLineChars="0"/>
        <w:jc w:val="center"/>
        <w:outlineLvl w:val="1"/>
        <w:rPr>
          <w:rFonts w:hint="eastAsia" w:ascii="仿宋_GB2312" w:hAnsi="仿宋_GB2312" w:cs="Times New Roman"/>
          <w:color w:val="auto"/>
          <w:kern w:val="0"/>
          <w:sz w:val="32"/>
          <w:szCs w:val="32"/>
          <w:highlight w:val="none"/>
          <w:lang w:eastAsia="zh-CN" w:bidi="ar"/>
        </w:rPr>
      </w:pPr>
      <w:bookmarkStart w:id="362" w:name="_Toc17182"/>
      <w:r>
        <w:rPr>
          <w:rFonts w:hint="eastAsia" w:ascii="仿宋_GB2312" w:hAnsi="仿宋_GB2312" w:cs="Times New Roman"/>
          <w:color w:val="auto"/>
          <w:kern w:val="0"/>
          <w:sz w:val="32"/>
          <w:szCs w:val="32"/>
          <w:highlight w:val="none"/>
          <w:lang w:eastAsia="zh-CN" w:bidi="ar"/>
        </w:rPr>
        <w:t>第</w:t>
      </w:r>
      <w:r>
        <w:rPr>
          <w:rFonts w:hint="eastAsia" w:ascii="仿宋_GB2312" w:hAnsi="仿宋_GB2312" w:cs="Times New Roman"/>
          <w:color w:val="auto"/>
          <w:kern w:val="0"/>
          <w:sz w:val="32"/>
          <w:szCs w:val="32"/>
          <w:highlight w:val="none"/>
          <w:lang w:val="en-US" w:eastAsia="zh-CN" w:bidi="ar"/>
        </w:rPr>
        <w:t>五</w:t>
      </w:r>
      <w:r>
        <w:rPr>
          <w:rFonts w:hint="eastAsia" w:ascii="仿宋_GB2312" w:hAnsi="仿宋_GB2312" w:cs="Times New Roman"/>
          <w:color w:val="auto"/>
          <w:kern w:val="0"/>
          <w:sz w:val="32"/>
          <w:szCs w:val="32"/>
          <w:highlight w:val="none"/>
          <w:lang w:eastAsia="zh-CN" w:bidi="ar"/>
        </w:rPr>
        <w:t>节</w:t>
      </w:r>
      <w:r>
        <w:rPr>
          <w:rFonts w:hint="eastAsia" w:ascii="仿宋_GB2312" w:hAnsi="仿宋_GB2312" w:cs="Times New Roman"/>
          <w:color w:val="auto"/>
          <w:kern w:val="0"/>
          <w:sz w:val="32"/>
          <w:szCs w:val="32"/>
          <w:highlight w:val="none"/>
          <w:lang w:val="en-US" w:eastAsia="zh-CN" w:bidi="ar"/>
        </w:rPr>
        <w:t xml:space="preserve"> </w:t>
      </w:r>
      <w:r>
        <w:rPr>
          <w:rFonts w:hint="eastAsia" w:ascii="仿宋_GB2312" w:hAnsi="仿宋_GB2312" w:cs="Times New Roman"/>
          <w:color w:val="auto"/>
          <w:kern w:val="0"/>
          <w:sz w:val="32"/>
          <w:szCs w:val="32"/>
          <w:highlight w:val="none"/>
          <w:lang w:eastAsia="zh-CN" w:bidi="ar"/>
        </w:rPr>
        <w:t>动员全社会力量共同奋斗</w:t>
      </w:r>
      <w:bookmarkEnd w:id="362"/>
    </w:p>
    <w:p w14:paraId="14C615AB">
      <w:pPr>
        <w:keepNext w:val="0"/>
        <w:keepLines w:val="0"/>
        <w:outlineLvl w:val="9"/>
        <w:rPr>
          <w:rFonts w:hint="eastAsia" w:ascii="仿宋_GB2312" w:hAnsi="仿宋_GB2312" w:cs="Times New Roman"/>
          <w:color w:val="auto"/>
          <w:kern w:val="0"/>
          <w:sz w:val="32"/>
          <w:szCs w:val="32"/>
          <w:highlight w:val="none"/>
          <w:lang w:eastAsia="zh-CN" w:bidi="ar"/>
        </w:rPr>
      </w:pPr>
      <w:r>
        <w:rPr>
          <w:rFonts w:hint="eastAsia" w:ascii="仿宋_GB2312" w:hAnsi="仿宋_GB2312" w:cs="Times New Roman"/>
          <w:color w:val="auto"/>
          <w:kern w:val="0"/>
          <w:sz w:val="32"/>
          <w:szCs w:val="32"/>
          <w:highlight w:val="none"/>
          <w:lang w:eastAsia="zh-CN" w:bidi="ar"/>
        </w:rPr>
        <w:t>加强规划宣传解读，顺应新媒体宣传趋势，丰富宣传渠道，积极探索创新解读形式，采取通俗易懂的解读形式，立足群众关切答疑解惑，增强群众参与性、</w:t>
      </w:r>
      <w:r>
        <w:rPr>
          <w:rFonts w:hint="eastAsia" w:ascii="仿宋_GB2312" w:hAnsi="仿宋_GB2312" w:cs="Times New Roman"/>
          <w:color w:val="auto"/>
          <w:kern w:val="0"/>
          <w:sz w:val="32"/>
          <w:szCs w:val="32"/>
          <w:highlight w:val="none"/>
          <w:lang w:val="en-US" w:eastAsia="zh-CN" w:bidi="ar"/>
        </w:rPr>
        <w:t>规划</w:t>
      </w:r>
      <w:r>
        <w:rPr>
          <w:rFonts w:hint="eastAsia" w:ascii="仿宋_GB2312" w:hAnsi="仿宋_GB2312" w:cs="Times New Roman"/>
          <w:color w:val="auto"/>
          <w:kern w:val="0"/>
          <w:sz w:val="32"/>
          <w:szCs w:val="32"/>
          <w:highlight w:val="none"/>
          <w:lang w:eastAsia="zh-CN" w:bidi="ar"/>
        </w:rPr>
        <w:t>知晓度，营造全社会关心规划、参与规划、支持规划的良好氛围。创新公众参与机制，搭建多种形式的参与平台，</w:t>
      </w:r>
      <w:r>
        <w:rPr>
          <w:rFonts w:hint="eastAsia" w:ascii="仿宋_GB2312" w:hAnsi="仿宋_GB2312" w:cs="Times New Roman"/>
          <w:color w:val="auto"/>
          <w:kern w:val="0"/>
          <w:sz w:val="32"/>
          <w:szCs w:val="32"/>
          <w:highlight w:val="none"/>
          <w:lang w:val="en-US" w:eastAsia="zh-CN" w:bidi="ar"/>
        </w:rPr>
        <w:t>通过</w:t>
      </w:r>
      <w:r>
        <w:rPr>
          <w:rFonts w:hint="eastAsia" w:ascii="仿宋_GB2312" w:hAnsi="仿宋_GB2312" w:cs="Times New Roman"/>
          <w:color w:val="auto"/>
          <w:kern w:val="0"/>
          <w:sz w:val="32"/>
          <w:szCs w:val="32"/>
          <w:highlight w:val="none"/>
          <w:lang w:eastAsia="zh-CN" w:bidi="ar"/>
        </w:rPr>
        <w:t>议事平台、完善参与机制、运用数字技术等手段，拓宽基层各类群体有序参与基层治理的渠道，鼓励社会各界为规划实施建言献策。</w:t>
      </w:r>
    </w:p>
    <w:p w14:paraId="528AB997">
      <w:pPr>
        <w:pStyle w:val="4"/>
        <w:ind w:firstLine="0" w:firstLineChars="0"/>
        <w:jc w:val="center"/>
        <w:outlineLvl w:val="1"/>
        <w:rPr>
          <w:rFonts w:hint="eastAsia" w:ascii="仿宋_GB2312" w:hAnsi="仿宋_GB2312" w:cs="Times New Roman"/>
          <w:color w:val="auto"/>
          <w:kern w:val="0"/>
          <w:sz w:val="32"/>
          <w:szCs w:val="32"/>
          <w:highlight w:val="none"/>
          <w:lang w:eastAsia="zh-CN" w:bidi="ar"/>
        </w:rPr>
      </w:pPr>
      <w:bookmarkStart w:id="363" w:name="_Toc223"/>
      <w:r>
        <w:rPr>
          <w:rFonts w:hint="eastAsia" w:ascii="仿宋_GB2312" w:hAnsi="仿宋_GB2312" w:cs="Times New Roman"/>
          <w:color w:val="auto"/>
          <w:kern w:val="0"/>
          <w:sz w:val="32"/>
          <w:szCs w:val="32"/>
          <w:highlight w:val="none"/>
          <w:lang w:eastAsia="zh-CN" w:bidi="ar"/>
        </w:rPr>
        <w:t>第</w:t>
      </w:r>
      <w:r>
        <w:rPr>
          <w:rFonts w:hint="eastAsia" w:ascii="仿宋_GB2312" w:hAnsi="仿宋_GB2312" w:cs="Times New Roman"/>
          <w:color w:val="auto"/>
          <w:kern w:val="0"/>
          <w:sz w:val="32"/>
          <w:szCs w:val="32"/>
          <w:highlight w:val="none"/>
          <w:lang w:val="en-US" w:eastAsia="zh-CN" w:bidi="ar"/>
        </w:rPr>
        <w:t>六</w:t>
      </w:r>
      <w:r>
        <w:rPr>
          <w:rFonts w:hint="eastAsia" w:ascii="仿宋_GB2312" w:hAnsi="仿宋_GB2312" w:cs="Times New Roman"/>
          <w:color w:val="auto"/>
          <w:kern w:val="0"/>
          <w:sz w:val="32"/>
          <w:szCs w:val="32"/>
          <w:highlight w:val="none"/>
          <w:lang w:eastAsia="zh-CN" w:bidi="ar"/>
        </w:rPr>
        <w:t>节</w:t>
      </w:r>
      <w:r>
        <w:rPr>
          <w:rFonts w:hint="eastAsia" w:ascii="仿宋_GB2312" w:hAnsi="仿宋_GB2312" w:cs="Times New Roman"/>
          <w:color w:val="auto"/>
          <w:kern w:val="0"/>
          <w:sz w:val="32"/>
          <w:szCs w:val="32"/>
          <w:highlight w:val="none"/>
          <w:lang w:val="en-US" w:eastAsia="zh-CN" w:bidi="ar"/>
        </w:rPr>
        <w:t xml:space="preserve"> </w:t>
      </w:r>
      <w:r>
        <w:rPr>
          <w:rFonts w:hint="eastAsia" w:ascii="仿宋_GB2312" w:hAnsi="仿宋_GB2312" w:cs="Times New Roman"/>
          <w:color w:val="auto"/>
          <w:kern w:val="0"/>
          <w:sz w:val="32"/>
          <w:szCs w:val="32"/>
          <w:highlight w:val="none"/>
          <w:lang w:eastAsia="zh-CN" w:bidi="ar"/>
        </w:rPr>
        <w:t>牢固树立“实干为要、创新为魂，用业绩说话、让人民评价”鲜明导向</w:t>
      </w:r>
      <w:bookmarkEnd w:id="363"/>
    </w:p>
    <w:p w14:paraId="2D4EE19E">
      <w:pPr>
        <w:pageBreakBefore w:val="0"/>
        <w:kinsoku/>
        <w:wordWrap/>
        <w:overflowPunct/>
        <w:topLinePunct w:val="0"/>
        <w:autoSpaceDE/>
        <w:autoSpaceDN/>
        <w:bidi w:val="0"/>
        <w:adjustRightInd/>
        <w:snapToGrid/>
        <w:spacing w:line="560" w:lineRule="exact"/>
        <w:textAlignment w:val="auto"/>
        <w:outlineLvl w:val="9"/>
        <w:rPr>
          <w:rFonts w:hint="default" w:cs="Times New Roman"/>
          <w:color w:val="auto"/>
          <w:sz w:val="32"/>
          <w:szCs w:val="32"/>
          <w:highlight w:val="none"/>
          <w:lang w:val="en-US" w:eastAsia="zh-CN"/>
        </w:rPr>
      </w:pPr>
      <w:r>
        <w:rPr>
          <w:rFonts w:hint="eastAsia" w:ascii="仿宋_GB2312" w:hAnsi="仿宋_GB2312" w:cs="Times New Roman"/>
          <w:color w:val="auto"/>
          <w:kern w:val="0"/>
          <w:sz w:val="32"/>
          <w:szCs w:val="32"/>
          <w:highlight w:val="none"/>
          <w:lang w:eastAsia="zh-CN" w:bidi="ar"/>
        </w:rPr>
        <w:t>大兴务实之风，把所有心思和精力都用在干事创业、造福人民上。把创新的理念和要求融入新时代壮美广西建设全局，树立和践行正确政绩观，营造良好政治生态，努力创造为党尽责、为民造福的过硬业绩，赢得人民群众的好口碑、历史沉淀的好评价。以“马上就办、敢做善成”的奋进姿态，推动高质量发展，让实干成为宾阳干部身上最鲜明的特征，全力完成“十五五”时期经济社会发展任务。</w:t>
      </w:r>
    </w:p>
    <w:sectPr>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B43AA98-8C21-4AC6-9306-002C67B5C6B6}"/>
  </w:font>
  <w:font w:name="黑体">
    <w:panose1 w:val="02010609060101010101"/>
    <w:charset w:val="86"/>
    <w:family w:val="auto"/>
    <w:pitch w:val="default"/>
    <w:sig w:usb0="800002BF" w:usb1="38CF7CFA" w:usb2="00000016" w:usb3="00000000" w:csb0="00040001" w:csb1="00000000"/>
    <w:embedRegular r:id="rId2" w:fontKey="{60B1362E-E200-453F-AD2E-CA6E19EED2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72007F0-9C08-4878-A597-E78B095C55A6}"/>
  </w:font>
  <w:font w:name="仿宋_GB2312">
    <w:panose1 w:val="02010609030101010101"/>
    <w:charset w:val="86"/>
    <w:family w:val="auto"/>
    <w:pitch w:val="default"/>
    <w:sig w:usb0="00000001" w:usb1="080E0000" w:usb2="00000000" w:usb3="00000000" w:csb0="00040000" w:csb1="00000000"/>
    <w:embedRegular r:id="rId4" w:fontKey="{7098E0F9-538D-40CD-9F7F-C47B6F8757E2}"/>
  </w:font>
  <w:font w:name="楷体_GB2312">
    <w:panose1 w:val="02010609030101010101"/>
    <w:charset w:val="86"/>
    <w:family w:val="auto"/>
    <w:pitch w:val="default"/>
    <w:sig w:usb0="00000001" w:usb1="080E0000" w:usb2="00000000" w:usb3="00000000" w:csb0="00040000" w:csb1="00000000"/>
    <w:embedRegular r:id="rId5" w:fontKey="{089A5749-101B-492E-AEE7-EFB470A3E621}"/>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embedRegular r:id="rId6" w:fontKey="{3DD02B40-2BD9-4411-8125-36821692B873}"/>
  </w:font>
  <w:font w:name="楷体">
    <w:panose1 w:val="02010609060101010101"/>
    <w:charset w:val="86"/>
    <w:family w:val="auto"/>
    <w:pitch w:val="default"/>
    <w:sig w:usb0="800002BF" w:usb1="38CF7CFA" w:usb2="00000016" w:usb3="00000000" w:csb0="00040001" w:csb1="00000000"/>
    <w:embedRegular r:id="rId7" w:fontKey="{00B5AF49-68F6-46D3-8C3D-1DA737785D48}"/>
  </w:font>
  <w:font w:name="仿宋">
    <w:panose1 w:val="02010609060101010101"/>
    <w:charset w:val="86"/>
    <w:family w:val="modern"/>
    <w:pitch w:val="default"/>
    <w:sig w:usb0="800002BF" w:usb1="38CF7CFA" w:usb2="00000016" w:usb3="00000000" w:csb0="00040001" w:csb1="00000000"/>
    <w:embedRegular r:id="rId8" w:fontKey="{0E076CC1-84A8-46F4-B4F4-285E994866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21B2E">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9D48F">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2E7B8E">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E2E7B8E">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58A76D"/>
    <w:multiLevelType w:val="singleLevel"/>
    <w:tmpl w:val="D158A76D"/>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BA2222"/>
    <w:rsid w:val="00111781"/>
    <w:rsid w:val="00436555"/>
    <w:rsid w:val="004D5FEB"/>
    <w:rsid w:val="004E3828"/>
    <w:rsid w:val="008657E3"/>
    <w:rsid w:val="00B56EFF"/>
    <w:rsid w:val="00E905B9"/>
    <w:rsid w:val="01111EE3"/>
    <w:rsid w:val="011253ED"/>
    <w:rsid w:val="011B5D9E"/>
    <w:rsid w:val="012D0479"/>
    <w:rsid w:val="0135303D"/>
    <w:rsid w:val="01365A12"/>
    <w:rsid w:val="014829DE"/>
    <w:rsid w:val="01B56E84"/>
    <w:rsid w:val="01D05578"/>
    <w:rsid w:val="01E97183"/>
    <w:rsid w:val="0250093A"/>
    <w:rsid w:val="02561608"/>
    <w:rsid w:val="03194DA1"/>
    <w:rsid w:val="033E6E15"/>
    <w:rsid w:val="03477141"/>
    <w:rsid w:val="03654798"/>
    <w:rsid w:val="044E0C1A"/>
    <w:rsid w:val="04B96661"/>
    <w:rsid w:val="04E15802"/>
    <w:rsid w:val="059565ED"/>
    <w:rsid w:val="059B1E55"/>
    <w:rsid w:val="05B071E0"/>
    <w:rsid w:val="060F59FA"/>
    <w:rsid w:val="06220804"/>
    <w:rsid w:val="064E04BB"/>
    <w:rsid w:val="069216BA"/>
    <w:rsid w:val="06A905C3"/>
    <w:rsid w:val="0710028B"/>
    <w:rsid w:val="07350510"/>
    <w:rsid w:val="07640A08"/>
    <w:rsid w:val="07A87452"/>
    <w:rsid w:val="07AE4F88"/>
    <w:rsid w:val="08075EEB"/>
    <w:rsid w:val="082B1968"/>
    <w:rsid w:val="08832305"/>
    <w:rsid w:val="08C6099D"/>
    <w:rsid w:val="097430E9"/>
    <w:rsid w:val="097B1087"/>
    <w:rsid w:val="09B931C3"/>
    <w:rsid w:val="09FE4978"/>
    <w:rsid w:val="0A30007E"/>
    <w:rsid w:val="0A4C067E"/>
    <w:rsid w:val="0A545FFE"/>
    <w:rsid w:val="0AED261D"/>
    <w:rsid w:val="0B510424"/>
    <w:rsid w:val="0B616696"/>
    <w:rsid w:val="0BCA5EB4"/>
    <w:rsid w:val="0C807E08"/>
    <w:rsid w:val="0C915D80"/>
    <w:rsid w:val="0DE21CA7"/>
    <w:rsid w:val="0DED7799"/>
    <w:rsid w:val="0E2B3F92"/>
    <w:rsid w:val="0E561C1E"/>
    <w:rsid w:val="0EF379BC"/>
    <w:rsid w:val="0F124CE1"/>
    <w:rsid w:val="0F205179"/>
    <w:rsid w:val="0F264AF2"/>
    <w:rsid w:val="0F5E32CB"/>
    <w:rsid w:val="0F6D3324"/>
    <w:rsid w:val="0F9C5F53"/>
    <w:rsid w:val="10367587"/>
    <w:rsid w:val="1058518D"/>
    <w:rsid w:val="10A5677B"/>
    <w:rsid w:val="10CA45A3"/>
    <w:rsid w:val="10D4129E"/>
    <w:rsid w:val="10F75FF7"/>
    <w:rsid w:val="111C5663"/>
    <w:rsid w:val="11EA38F2"/>
    <w:rsid w:val="123673EC"/>
    <w:rsid w:val="12F7038D"/>
    <w:rsid w:val="130B653F"/>
    <w:rsid w:val="13123B3D"/>
    <w:rsid w:val="133C5BE7"/>
    <w:rsid w:val="13430BA1"/>
    <w:rsid w:val="134D68BD"/>
    <w:rsid w:val="137A418E"/>
    <w:rsid w:val="13A7230D"/>
    <w:rsid w:val="13E917AA"/>
    <w:rsid w:val="13FA243C"/>
    <w:rsid w:val="140F1FFA"/>
    <w:rsid w:val="14684F0D"/>
    <w:rsid w:val="14A02B65"/>
    <w:rsid w:val="14CC2E0F"/>
    <w:rsid w:val="14CC657F"/>
    <w:rsid w:val="15116E30"/>
    <w:rsid w:val="1520237C"/>
    <w:rsid w:val="15367572"/>
    <w:rsid w:val="15436065"/>
    <w:rsid w:val="154E768F"/>
    <w:rsid w:val="15631D92"/>
    <w:rsid w:val="15B56C77"/>
    <w:rsid w:val="15C44EC6"/>
    <w:rsid w:val="15E6462D"/>
    <w:rsid w:val="15F10601"/>
    <w:rsid w:val="160F2AFC"/>
    <w:rsid w:val="16484137"/>
    <w:rsid w:val="16496004"/>
    <w:rsid w:val="1679174A"/>
    <w:rsid w:val="17CB3CFA"/>
    <w:rsid w:val="17FD72E1"/>
    <w:rsid w:val="18166BF6"/>
    <w:rsid w:val="18344699"/>
    <w:rsid w:val="18884B57"/>
    <w:rsid w:val="19971F50"/>
    <w:rsid w:val="19D74AC8"/>
    <w:rsid w:val="19F9792C"/>
    <w:rsid w:val="1A231FC1"/>
    <w:rsid w:val="1A845156"/>
    <w:rsid w:val="1AB71087"/>
    <w:rsid w:val="1B067A23"/>
    <w:rsid w:val="1B3A697D"/>
    <w:rsid w:val="1BAC317A"/>
    <w:rsid w:val="1BD74845"/>
    <w:rsid w:val="1C2E35CB"/>
    <w:rsid w:val="1CB9418C"/>
    <w:rsid w:val="1CC82F9C"/>
    <w:rsid w:val="1CE767CA"/>
    <w:rsid w:val="1D2E1641"/>
    <w:rsid w:val="1D345CB1"/>
    <w:rsid w:val="1D351B04"/>
    <w:rsid w:val="1D5030B3"/>
    <w:rsid w:val="1D9A2F33"/>
    <w:rsid w:val="1D9C750D"/>
    <w:rsid w:val="1D9E1F61"/>
    <w:rsid w:val="1DCA0DC5"/>
    <w:rsid w:val="1EA70344"/>
    <w:rsid w:val="1F0771F7"/>
    <w:rsid w:val="1F1F0E95"/>
    <w:rsid w:val="1F8D0528"/>
    <w:rsid w:val="1F8E0592"/>
    <w:rsid w:val="1F951D54"/>
    <w:rsid w:val="200E06F7"/>
    <w:rsid w:val="2041336D"/>
    <w:rsid w:val="205B1D25"/>
    <w:rsid w:val="2070686C"/>
    <w:rsid w:val="207D06E6"/>
    <w:rsid w:val="20874D5E"/>
    <w:rsid w:val="20B945BE"/>
    <w:rsid w:val="20F85F56"/>
    <w:rsid w:val="211230DD"/>
    <w:rsid w:val="21771570"/>
    <w:rsid w:val="21A2327D"/>
    <w:rsid w:val="21AD4F34"/>
    <w:rsid w:val="21C9766A"/>
    <w:rsid w:val="22652186"/>
    <w:rsid w:val="22AB18F1"/>
    <w:rsid w:val="22EB51A0"/>
    <w:rsid w:val="22F7367F"/>
    <w:rsid w:val="23084B52"/>
    <w:rsid w:val="23213709"/>
    <w:rsid w:val="232C1EE7"/>
    <w:rsid w:val="23425AB2"/>
    <w:rsid w:val="2371402C"/>
    <w:rsid w:val="23D0215E"/>
    <w:rsid w:val="23D10F0E"/>
    <w:rsid w:val="23EF5816"/>
    <w:rsid w:val="24024094"/>
    <w:rsid w:val="24257941"/>
    <w:rsid w:val="24DD384C"/>
    <w:rsid w:val="24EC2702"/>
    <w:rsid w:val="25335D59"/>
    <w:rsid w:val="25D1132C"/>
    <w:rsid w:val="26326F6E"/>
    <w:rsid w:val="265D7D78"/>
    <w:rsid w:val="269E5A83"/>
    <w:rsid w:val="272107C1"/>
    <w:rsid w:val="272E765A"/>
    <w:rsid w:val="275E11BF"/>
    <w:rsid w:val="277D7441"/>
    <w:rsid w:val="27815FB5"/>
    <w:rsid w:val="27F33B9A"/>
    <w:rsid w:val="288B6F4B"/>
    <w:rsid w:val="28AF4045"/>
    <w:rsid w:val="28B53A2B"/>
    <w:rsid w:val="28D0421C"/>
    <w:rsid w:val="28D34CE1"/>
    <w:rsid w:val="29EC183B"/>
    <w:rsid w:val="29FF7471"/>
    <w:rsid w:val="2A1856DC"/>
    <w:rsid w:val="2A190B86"/>
    <w:rsid w:val="2A1941DE"/>
    <w:rsid w:val="2A4C401D"/>
    <w:rsid w:val="2A5561C7"/>
    <w:rsid w:val="2A756869"/>
    <w:rsid w:val="2A921E30"/>
    <w:rsid w:val="2ABF7AE4"/>
    <w:rsid w:val="2AC16913"/>
    <w:rsid w:val="2AD271C5"/>
    <w:rsid w:val="2AD46261"/>
    <w:rsid w:val="2AD51A9F"/>
    <w:rsid w:val="2AF34931"/>
    <w:rsid w:val="2B8C7D93"/>
    <w:rsid w:val="2BF13ACA"/>
    <w:rsid w:val="2C112457"/>
    <w:rsid w:val="2C181497"/>
    <w:rsid w:val="2C4C123B"/>
    <w:rsid w:val="2C627897"/>
    <w:rsid w:val="2C697D8F"/>
    <w:rsid w:val="2C8E1FAD"/>
    <w:rsid w:val="2C94020E"/>
    <w:rsid w:val="2C9F2F48"/>
    <w:rsid w:val="2CD23A46"/>
    <w:rsid w:val="2CDF0834"/>
    <w:rsid w:val="2D2A393B"/>
    <w:rsid w:val="2D764930"/>
    <w:rsid w:val="2DAB6D3A"/>
    <w:rsid w:val="2E094A13"/>
    <w:rsid w:val="2E2402AA"/>
    <w:rsid w:val="2E78393B"/>
    <w:rsid w:val="2E8D423E"/>
    <w:rsid w:val="2E942A7E"/>
    <w:rsid w:val="2F0953D4"/>
    <w:rsid w:val="2F1B72D7"/>
    <w:rsid w:val="2F871F76"/>
    <w:rsid w:val="2FD84AAF"/>
    <w:rsid w:val="2FE71157"/>
    <w:rsid w:val="2FF272AD"/>
    <w:rsid w:val="300E6C3C"/>
    <w:rsid w:val="303C2FE5"/>
    <w:rsid w:val="30F64B37"/>
    <w:rsid w:val="31047385"/>
    <w:rsid w:val="31175F84"/>
    <w:rsid w:val="31840456"/>
    <w:rsid w:val="31C51E8C"/>
    <w:rsid w:val="31CA07AB"/>
    <w:rsid w:val="31CF0353"/>
    <w:rsid w:val="31DA236D"/>
    <w:rsid w:val="31F44E5C"/>
    <w:rsid w:val="321B74C3"/>
    <w:rsid w:val="325D5712"/>
    <w:rsid w:val="32705329"/>
    <w:rsid w:val="32857E93"/>
    <w:rsid w:val="32A31F72"/>
    <w:rsid w:val="32DA370D"/>
    <w:rsid w:val="32EE3A44"/>
    <w:rsid w:val="32F153DB"/>
    <w:rsid w:val="330931D6"/>
    <w:rsid w:val="33185FE3"/>
    <w:rsid w:val="33381316"/>
    <w:rsid w:val="333C626C"/>
    <w:rsid w:val="33826993"/>
    <w:rsid w:val="338468EB"/>
    <w:rsid w:val="33A93A38"/>
    <w:rsid w:val="340A4945"/>
    <w:rsid w:val="34313111"/>
    <w:rsid w:val="345F4AE7"/>
    <w:rsid w:val="34A246FE"/>
    <w:rsid w:val="34AC41AC"/>
    <w:rsid w:val="34BC5CBA"/>
    <w:rsid w:val="34D56E81"/>
    <w:rsid w:val="34F767F8"/>
    <w:rsid w:val="350151F4"/>
    <w:rsid w:val="35B90109"/>
    <w:rsid w:val="35E45325"/>
    <w:rsid w:val="35E9580A"/>
    <w:rsid w:val="35F61C9B"/>
    <w:rsid w:val="36092EAF"/>
    <w:rsid w:val="364B5198"/>
    <w:rsid w:val="365B44CD"/>
    <w:rsid w:val="367C59E6"/>
    <w:rsid w:val="36B66A57"/>
    <w:rsid w:val="374E0226"/>
    <w:rsid w:val="3821023D"/>
    <w:rsid w:val="383375B1"/>
    <w:rsid w:val="384A4A29"/>
    <w:rsid w:val="387A552E"/>
    <w:rsid w:val="38814D30"/>
    <w:rsid w:val="38E92078"/>
    <w:rsid w:val="395D6984"/>
    <w:rsid w:val="39BA2222"/>
    <w:rsid w:val="39C62C3D"/>
    <w:rsid w:val="39D34277"/>
    <w:rsid w:val="3A0F6AB2"/>
    <w:rsid w:val="3A727689"/>
    <w:rsid w:val="3A891563"/>
    <w:rsid w:val="3A972DF6"/>
    <w:rsid w:val="3AB225CB"/>
    <w:rsid w:val="3AD10FFB"/>
    <w:rsid w:val="3AF17F9F"/>
    <w:rsid w:val="3AFC5D20"/>
    <w:rsid w:val="3B2B32D9"/>
    <w:rsid w:val="3B6A670B"/>
    <w:rsid w:val="3BA4665D"/>
    <w:rsid w:val="3C0337D4"/>
    <w:rsid w:val="3C51185A"/>
    <w:rsid w:val="3C5207B8"/>
    <w:rsid w:val="3C735A11"/>
    <w:rsid w:val="3C78417C"/>
    <w:rsid w:val="3C923979"/>
    <w:rsid w:val="3CB01E73"/>
    <w:rsid w:val="3CEF10F5"/>
    <w:rsid w:val="3D251A29"/>
    <w:rsid w:val="3D954E00"/>
    <w:rsid w:val="3DA652FE"/>
    <w:rsid w:val="3DE818AE"/>
    <w:rsid w:val="3DEE7006"/>
    <w:rsid w:val="3E047890"/>
    <w:rsid w:val="3E7477D3"/>
    <w:rsid w:val="3E7A310C"/>
    <w:rsid w:val="3E952BDE"/>
    <w:rsid w:val="3EA508BB"/>
    <w:rsid w:val="3EDE6A90"/>
    <w:rsid w:val="3F3601F1"/>
    <w:rsid w:val="3F554683"/>
    <w:rsid w:val="3F635BA9"/>
    <w:rsid w:val="3F80545E"/>
    <w:rsid w:val="40BE5582"/>
    <w:rsid w:val="40DB1DE6"/>
    <w:rsid w:val="40F91758"/>
    <w:rsid w:val="4139769D"/>
    <w:rsid w:val="414865FC"/>
    <w:rsid w:val="41547EEF"/>
    <w:rsid w:val="41F17B58"/>
    <w:rsid w:val="41FB043B"/>
    <w:rsid w:val="423C41B6"/>
    <w:rsid w:val="425C50DC"/>
    <w:rsid w:val="42701998"/>
    <w:rsid w:val="42CC2D35"/>
    <w:rsid w:val="42E175F0"/>
    <w:rsid w:val="42EF456E"/>
    <w:rsid w:val="431E1B44"/>
    <w:rsid w:val="43880F63"/>
    <w:rsid w:val="4399229E"/>
    <w:rsid w:val="43AB1BBC"/>
    <w:rsid w:val="44295CCC"/>
    <w:rsid w:val="442E625A"/>
    <w:rsid w:val="44450CEB"/>
    <w:rsid w:val="44711FF5"/>
    <w:rsid w:val="44976989"/>
    <w:rsid w:val="449B6928"/>
    <w:rsid w:val="44A3059B"/>
    <w:rsid w:val="44DA1640"/>
    <w:rsid w:val="45087484"/>
    <w:rsid w:val="45187B20"/>
    <w:rsid w:val="4565155C"/>
    <w:rsid w:val="457F62A5"/>
    <w:rsid w:val="46625D28"/>
    <w:rsid w:val="469513B7"/>
    <w:rsid w:val="46A13395"/>
    <w:rsid w:val="46BC4DB7"/>
    <w:rsid w:val="46D7410B"/>
    <w:rsid w:val="47186B04"/>
    <w:rsid w:val="473D2970"/>
    <w:rsid w:val="47664E08"/>
    <w:rsid w:val="4774270F"/>
    <w:rsid w:val="47CF7C9D"/>
    <w:rsid w:val="47D31122"/>
    <w:rsid w:val="484D4763"/>
    <w:rsid w:val="495454E3"/>
    <w:rsid w:val="4971313E"/>
    <w:rsid w:val="4974024A"/>
    <w:rsid w:val="49E06F94"/>
    <w:rsid w:val="4A5561D5"/>
    <w:rsid w:val="4A822AB5"/>
    <w:rsid w:val="4A8E0B76"/>
    <w:rsid w:val="4AB41FFC"/>
    <w:rsid w:val="4AF07EEC"/>
    <w:rsid w:val="4B3A470A"/>
    <w:rsid w:val="4B424417"/>
    <w:rsid w:val="4B4D4144"/>
    <w:rsid w:val="4BD939D5"/>
    <w:rsid w:val="4C0B2511"/>
    <w:rsid w:val="4C4B78C0"/>
    <w:rsid w:val="4C9D0966"/>
    <w:rsid w:val="4CBB1CF4"/>
    <w:rsid w:val="4D041CAC"/>
    <w:rsid w:val="4D0D77FD"/>
    <w:rsid w:val="4D386E00"/>
    <w:rsid w:val="4D913772"/>
    <w:rsid w:val="4D9673EC"/>
    <w:rsid w:val="4DA618AA"/>
    <w:rsid w:val="4DBB0745"/>
    <w:rsid w:val="4E114AD4"/>
    <w:rsid w:val="4E553E46"/>
    <w:rsid w:val="4E8F0E6B"/>
    <w:rsid w:val="4ECC6068"/>
    <w:rsid w:val="4ECC7963"/>
    <w:rsid w:val="4EE00D0F"/>
    <w:rsid w:val="4F293EA4"/>
    <w:rsid w:val="4FF41AEC"/>
    <w:rsid w:val="50020EF3"/>
    <w:rsid w:val="505A759D"/>
    <w:rsid w:val="50623B0E"/>
    <w:rsid w:val="507A1C34"/>
    <w:rsid w:val="508825A3"/>
    <w:rsid w:val="50A57969"/>
    <w:rsid w:val="50B4528A"/>
    <w:rsid w:val="5121196C"/>
    <w:rsid w:val="5196501C"/>
    <w:rsid w:val="51A5253B"/>
    <w:rsid w:val="51B526FD"/>
    <w:rsid w:val="52100F13"/>
    <w:rsid w:val="526770C0"/>
    <w:rsid w:val="526C7ABA"/>
    <w:rsid w:val="52DA2650"/>
    <w:rsid w:val="533B66B8"/>
    <w:rsid w:val="534E6420"/>
    <w:rsid w:val="53986FA1"/>
    <w:rsid w:val="54385F43"/>
    <w:rsid w:val="548747DE"/>
    <w:rsid w:val="54FA76BD"/>
    <w:rsid w:val="553E0BC3"/>
    <w:rsid w:val="55495EEF"/>
    <w:rsid w:val="55596A62"/>
    <w:rsid w:val="55651EE5"/>
    <w:rsid w:val="55CD727D"/>
    <w:rsid w:val="55EB160A"/>
    <w:rsid w:val="55F84E6F"/>
    <w:rsid w:val="56076A84"/>
    <w:rsid w:val="562A4D77"/>
    <w:rsid w:val="56510632"/>
    <w:rsid w:val="56545C38"/>
    <w:rsid w:val="56811F6E"/>
    <w:rsid w:val="56BC4593"/>
    <w:rsid w:val="56BD59D5"/>
    <w:rsid w:val="56FC5444"/>
    <w:rsid w:val="5701202D"/>
    <w:rsid w:val="572C6583"/>
    <w:rsid w:val="5762159B"/>
    <w:rsid w:val="576373E3"/>
    <w:rsid w:val="577F6EEE"/>
    <w:rsid w:val="57E96A87"/>
    <w:rsid w:val="58192408"/>
    <w:rsid w:val="58675F47"/>
    <w:rsid w:val="587E7C08"/>
    <w:rsid w:val="58B30929"/>
    <w:rsid w:val="58BA1767"/>
    <w:rsid w:val="58DE1D57"/>
    <w:rsid w:val="58E56CDB"/>
    <w:rsid w:val="58EC770E"/>
    <w:rsid w:val="591107EA"/>
    <w:rsid w:val="591F5FED"/>
    <w:rsid w:val="595459D3"/>
    <w:rsid w:val="598230E0"/>
    <w:rsid w:val="598C0743"/>
    <w:rsid w:val="599A1AF4"/>
    <w:rsid w:val="59D23F42"/>
    <w:rsid w:val="59E744C3"/>
    <w:rsid w:val="5A0D509A"/>
    <w:rsid w:val="5A2B46C6"/>
    <w:rsid w:val="5A841380"/>
    <w:rsid w:val="5A9F39AC"/>
    <w:rsid w:val="5AD6536A"/>
    <w:rsid w:val="5B132093"/>
    <w:rsid w:val="5B161D99"/>
    <w:rsid w:val="5B547C51"/>
    <w:rsid w:val="5B6C36DD"/>
    <w:rsid w:val="5BC754E5"/>
    <w:rsid w:val="5BF74F92"/>
    <w:rsid w:val="5C0E6052"/>
    <w:rsid w:val="5C212586"/>
    <w:rsid w:val="5C602626"/>
    <w:rsid w:val="5C78139B"/>
    <w:rsid w:val="5C863346"/>
    <w:rsid w:val="5D3931AE"/>
    <w:rsid w:val="5D482C16"/>
    <w:rsid w:val="5DC42740"/>
    <w:rsid w:val="5DC95069"/>
    <w:rsid w:val="5E2F4305"/>
    <w:rsid w:val="5E3A3003"/>
    <w:rsid w:val="5E8E6FD6"/>
    <w:rsid w:val="5EC01016"/>
    <w:rsid w:val="5EFD146D"/>
    <w:rsid w:val="5F0F16FD"/>
    <w:rsid w:val="5F305064"/>
    <w:rsid w:val="5F4B0263"/>
    <w:rsid w:val="5F644B92"/>
    <w:rsid w:val="5FCE101F"/>
    <w:rsid w:val="601F0A6A"/>
    <w:rsid w:val="60711C0B"/>
    <w:rsid w:val="608C6209"/>
    <w:rsid w:val="60C2565D"/>
    <w:rsid w:val="60DC439A"/>
    <w:rsid w:val="611C38FE"/>
    <w:rsid w:val="613F79D4"/>
    <w:rsid w:val="618A41F9"/>
    <w:rsid w:val="61C06B08"/>
    <w:rsid w:val="61D704CF"/>
    <w:rsid w:val="61F045DE"/>
    <w:rsid w:val="620D44CC"/>
    <w:rsid w:val="622F4911"/>
    <w:rsid w:val="62643FD9"/>
    <w:rsid w:val="63392363"/>
    <w:rsid w:val="635B7F74"/>
    <w:rsid w:val="636F415C"/>
    <w:rsid w:val="63A46BC2"/>
    <w:rsid w:val="63CA6EFF"/>
    <w:rsid w:val="63DA4E54"/>
    <w:rsid w:val="63F060AE"/>
    <w:rsid w:val="641B3F64"/>
    <w:rsid w:val="644B7717"/>
    <w:rsid w:val="644F1557"/>
    <w:rsid w:val="647B21EB"/>
    <w:rsid w:val="64C56671"/>
    <w:rsid w:val="64DD3773"/>
    <w:rsid w:val="65006AA6"/>
    <w:rsid w:val="6505524B"/>
    <w:rsid w:val="650852D4"/>
    <w:rsid w:val="65295CAB"/>
    <w:rsid w:val="65B3575E"/>
    <w:rsid w:val="65BA1D28"/>
    <w:rsid w:val="65ED4E63"/>
    <w:rsid w:val="65F2278B"/>
    <w:rsid w:val="663505DD"/>
    <w:rsid w:val="66562864"/>
    <w:rsid w:val="66726677"/>
    <w:rsid w:val="667733BA"/>
    <w:rsid w:val="669478EE"/>
    <w:rsid w:val="66974ECF"/>
    <w:rsid w:val="66BB10BA"/>
    <w:rsid w:val="66FD07A2"/>
    <w:rsid w:val="672A4303"/>
    <w:rsid w:val="672F7019"/>
    <w:rsid w:val="676D562A"/>
    <w:rsid w:val="67BF18C6"/>
    <w:rsid w:val="68470119"/>
    <w:rsid w:val="68AA6384"/>
    <w:rsid w:val="68D97749"/>
    <w:rsid w:val="68FD3F2F"/>
    <w:rsid w:val="69897A60"/>
    <w:rsid w:val="6A5A2765"/>
    <w:rsid w:val="6A6922C0"/>
    <w:rsid w:val="6A7007A7"/>
    <w:rsid w:val="6A990318"/>
    <w:rsid w:val="6ADC7626"/>
    <w:rsid w:val="6B0221B8"/>
    <w:rsid w:val="6B3233DF"/>
    <w:rsid w:val="6B870F76"/>
    <w:rsid w:val="6BB73744"/>
    <w:rsid w:val="6CA72659"/>
    <w:rsid w:val="6CC85A40"/>
    <w:rsid w:val="6CD23F4C"/>
    <w:rsid w:val="6D6A0067"/>
    <w:rsid w:val="6D7B0683"/>
    <w:rsid w:val="6DAA61D8"/>
    <w:rsid w:val="6DB922A6"/>
    <w:rsid w:val="6DC32941"/>
    <w:rsid w:val="6DFA6436"/>
    <w:rsid w:val="6E5365A1"/>
    <w:rsid w:val="6E7C1650"/>
    <w:rsid w:val="6F170DE2"/>
    <w:rsid w:val="6FBD3149"/>
    <w:rsid w:val="6FD639A1"/>
    <w:rsid w:val="703A4D0E"/>
    <w:rsid w:val="70603BB7"/>
    <w:rsid w:val="71C578FA"/>
    <w:rsid w:val="72135D18"/>
    <w:rsid w:val="72155BA0"/>
    <w:rsid w:val="72895378"/>
    <w:rsid w:val="72A81890"/>
    <w:rsid w:val="72B666A4"/>
    <w:rsid w:val="72C62275"/>
    <w:rsid w:val="72FD37C7"/>
    <w:rsid w:val="730B6BCA"/>
    <w:rsid w:val="73927AB0"/>
    <w:rsid w:val="73B509FF"/>
    <w:rsid w:val="73BA3432"/>
    <w:rsid w:val="74275ECB"/>
    <w:rsid w:val="74395496"/>
    <w:rsid w:val="74540D18"/>
    <w:rsid w:val="74933552"/>
    <w:rsid w:val="74DE40E9"/>
    <w:rsid w:val="74EB56D4"/>
    <w:rsid w:val="75195F98"/>
    <w:rsid w:val="75B44984"/>
    <w:rsid w:val="75BB0B93"/>
    <w:rsid w:val="75DE03EB"/>
    <w:rsid w:val="7629401B"/>
    <w:rsid w:val="765140DC"/>
    <w:rsid w:val="76733CE7"/>
    <w:rsid w:val="76752B0A"/>
    <w:rsid w:val="76855262"/>
    <w:rsid w:val="76AA29C3"/>
    <w:rsid w:val="76AC04E9"/>
    <w:rsid w:val="76AC0E6D"/>
    <w:rsid w:val="76B76EA6"/>
    <w:rsid w:val="76EA7FA2"/>
    <w:rsid w:val="77527A03"/>
    <w:rsid w:val="775D75CE"/>
    <w:rsid w:val="7764686F"/>
    <w:rsid w:val="7771311E"/>
    <w:rsid w:val="7836547D"/>
    <w:rsid w:val="78606D8E"/>
    <w:rsid w:val="78746F29"/>
    <w:rsid w:val="788B12D2"/>
    <w:rsid w:val="78C574D9"/>
    <w:rsid w:val="7944028A"/>
    <w:rsid w:val="79D00993"/>
    <w:rsid w:val="79D67BE5"/>
    <w:rsid w:val="79F74C15"/>
    <w:rsid w:val="7A1268B5"/>
    <w:rsid w:val="7A3B700C"/>
    <w:rsid w:val="7A5460CC"/>
    <w:rsid w:val="7A7E449C"/>
    <w:rsid w:val="7AB15212"/>
    <w:rsid w:val="7ABD66F8"/>
    <w:rsid w:val="7B364826"/>
    <w:rsid w:val="7B3A09B1"/>
    <w:rsid w:val="7B882B37"/>
    <w:rsid w:val="7BE954B3"/>
    <w:rsid w:val="7C13482C"/>
    <w:rsid w:val="7C31384C"/>
    <w:rsid w:val="7C9D5237"/>
    <w:rsid w:val="7CC56FE5"/>
    <w:rsid w:val="7D20704E"/>
    <w:rsid w:val="7D281D2E"/>
    <w:rsid w:val="7D2D3A06"/>
    <w:rsid w:val="7D3A25C1"/>
    <w:rsid w:val="7D5F62B6"/>
    <w:rsid w:val="7DAB2BFC"/>
    <w:rsid w:val="7DB45EE7"/>
    <w:rsid w:val="7DFC3345"/>
    <w:rsid w:val="7E5D476C"/>
    <w:rsid w:val="7E655B4E"/>
    <w:rsid w:val="7E881B7B"/>
    <w:rsid w:val="7EA43D9A"/>
    <w:rsid w:val="7EA74461"/>
    <w:rsid w:val="7EB50D93"/>
    <w:rsid w:val="7EDB7BBE"/>
    <w:rsid w:val="7EE127F2"/>
    <w:rsid w:val="7EF422AD"/>
    <w:rsid w:val="7F4E338A"/>
    <w:rsid w:val="7F58120E"/>
    <w:rsid w:val="7F6D5B1A"/>
    <w:rsid w:val="7F707172"/>
    <w:rsid w:val="7F9A0DC0"/>
    <w:rsid w:val="7FA07363"/>
    <w:rsid w:val="7FB70F8A"/>
    <w:rsid w:val="7FBF15B2"/>
    <w:rsid w:val="7FD82DA2"/>
    <w:rsid w:val="7FE874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bidi w:val="0"/>
      <w:spacing w:line="560" w:lineRule="exact"/>
      <w:ind w:firstLine="1044" w:firstLineChars="20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keepNext/>
      <w:keepLines/>
      <w:spacing w:beforeAutospacing="0" w:afterAutospacing="0" w:line="560" w:lineRule="exact"/>
      <w:ind w:firstLine="1044" w:firstLineChars="200"/>
      <w:outlineLvl w:val="0"/>
    </w:pPr>
    <w:rPr>
      <w:rFonts w:ascii="Times New Roman" w:hAnsi="Times New Roman" w:eastAsia="黑体"/>
      <w:kern w:val="44"/>
    </w:rPr>
  </w:style>
  <w:style w:type="paragraph" w:styleId="4">
    <w:name w:val="heading 2"/>
    <w:basedOn w:val="1"/>
    <w:next w:val="1"/>
    <w:link w:val="19"/>
    <w:unhideWhenUsed/>
    <w:qFormat/>
    <w:uiPriority w:val="0"/>
    <w:pPr>
      <w:keepNext/>
      <w:keepLines/>
      <w:spacing w:beforeLines="0" w:beforeAutospacing="0" w:afterLines="0" w:afterAutospacing="0" w:line="560" w:lineRule="exact"/>
      <w:ind w:firstLine="643" w:firstLineChars="200"/>
      <w:outlineLvl w:val="1"/>
    </w:pPr>
    <w:rPr>
      <w:rFonts w:ascii="Times New Roman" w:hAnsi="Times New Roman" w:eastAsia="楷体_GB2312"/>
      <w:b/>
    </w:rPr>
  </w:style>
  <w:style w:type="paragraph" w:styleId="5">
    <w:name w:val="heading 3"/>
    <w:basedOn w:val="1"/>
    <w:next w:val="1"/>
    <w:link w:val="21"/>
    <w:unhideWhenUsed/>
    <w:qFormat/>
    <w:uiPriority w:val="0"/>
    <w:pPr>
      <w:spacing w:beforeAutospacing="0" w:afterAutospacing="0" w:line="560" w:lineRule="exact"/>
      <w:jc w:val="left"/>
      <w:outlineLvl w:val="2"/>
    </w:pPr>
    <w:rPr>
      <w:rFonts w:hint="eastAsia" w:ascii="宋体" w:hAnsi="宋体" w:cs="宋体"/>
      <w:b/>
      <w:bCs/>
      <w:kern w:val="0"/>
      <w:szCs w:val="27"/>
      <w:lang w:bidi="ar"/>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itle"/>
    <w:basedOn w:val="1"/>
    <w:next w:val="1"/>
    <w:qFormat/>
    <w:uiPriority w:val="0"/>
    <w:pPr>
      <w:spacing w:before="60" w:after="120" w:line="560" w:lineRule="exact"/>
      <w:jc w:val="center"/>
      <w:outlineLvl w:val="0"/>
    </w:pPr>
    <w:rPr>
      <w:rFonts w:ascii="Times New Roman" w:hAnsi="Times New Roman" w:eastAsia="微软雅黑" w:cs="Times New Roman"/>
      <w:bCs/>
      <w:sz w:val="44"/>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rPr>
      <w:rFonts w:ascii="Times New Roman" w:hAnsi="Times New Roman" w:eastAsia="黑体"/>
      <w:b/>
    </w:rPr>
  </w:style>
  <w:style w:type="paragraph" w:styleId="11">
    <w:name w:val="toc 2"/>
    <w:basedOn w:val="1"/>
    <w:next w:val="1"/>
    <w:qFormat/>
    <w:uiPriority w:val="0"/>
    <w:pPr>
      <w:ind w:left="420" w:leftChars="200"/>
    </w:pPr>
    <w:rPr>
      <w:rFonts w:ascii="Times New Roman" w:hAnsi="Times New Roman" w:eastAsia="楷体_GB231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蓝宏A3"/>
    <w:basedOn w:val="6"/>
    <w:next w:val="1"/>
    <w:qFormat/>
    <w:uiPriority w:val="0"/>
    <w:pPr>
      <w:jc w:val="left"/>
    </w:pPr>
    <w:rPr>
      <w:rFonts w:ascii="Arial" w:hAnsi="Arial" w:cs="Times New Roman"/>
      <w:sz w:val="28"/>
    </w:rPr>
  </w:style>
  <w:style w:type="character" w:customStyle="1" w:styleId="19">
    <w:name w:val="标题 2 Char"/>
    <w:link w:val="4"/>
    <w:qFormat/>
    <w:uiPriority w:val="0"/>
    <w:rPr>
      <w:rFonts w:ascii="Times New Roman" w:hAnsi="Times New Roman" w:eastAsia="楷体_GB2312"/>
      <w:b/>
    </w:rPr>
  </w:style>
  <w:style w:type="character" w:customStyle="1" w:styleId="20">
    <w:name w:val="font31"/>
    <w:basedOn w:val="15"/>
    <w:qFormat/>
    <w:uiPriority w:val="0"/>
    <w:rPr>
      <w:rFonts w:hint="eastAsia" w:ascii="宋体" w:hAnsi="宋体" w:eastAsia="宋体" w:cs="宋体"/>
      <w:color w:val="000000"/>
      <w:sz w:val="18"/>
      <w:szCs w:val="18"/>
      <w:u w:val="none"/>
    </w:rPr>
  </w:style>
  <w:style w:type="character" w:customStyle="1" w:styleId="21">
    <w:name w:val="标题 3 字符"/>
    <w:basedOn w:val="15"/>
    <w:link w:val="5"/>
    <w:qFormat/>
    <w:uiPriority w:val="0"/>
    <w:rPr>
      <w:rFonts w:ascii="Cambria" w:hAnsi="Cambria" w:eastAsia="宋体" w:cs="Times New Roman"/>
      <w:color w:val="365F91"/>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77551ef5-53f8-4f36-9533-f60cafd325a2</errorID>
      <errorWord>四大支柱</errorWord>
      <group>L1_Political</group>
      <groupName>政治性问题</groupName>
      <ability>L2_Unpolitical</ability>
      <abilityName>政治敏感错误</abilityName>
      <candidateList/>
      <explain>“台独”</explain>
      <paraID>7AFA04BA</paraID>
      <start>75</start>
      <end>79</end>
      <status>ignored</status>
      <modifiedWord/>
      <trackRevisions>false</trackRevisions>
    </reviewItem>
    <reviewItem>
      <errorID>1e6d65c1-d86a-45de-a2c5-b2d4b9180502</errorID>
      <errorWord>5千</errorWord>
      <group>L1_Knowledge</group>
      <groupName>知识性问题</groupName>
      <ability>L2_Knowledge</ability>
      <abilityName>其他知识</abilityName>
      <candidateList>
        <item>5000</item>
      </candidateList>
      <explain/>
      <paraID> A464E45</paraID>
      <start>155</start>
      <end>161</end>
      <status>modified</status>
      <modifiedWord>5000</modifiedWord>
      <trackRevisions>true</trackRevisions>
    </reviewItem>
    <reviewItem>
      <errorID>8cd7357b-ab2b-4003-94d5-16b61fdd5a25</errorID>
      <errorWord>(</errorWord>
      <group>L1_Format</group>
      <groupName>格式问题</groupName>
      <ability>L2_HalfPunc</ability>
      <abilityName>全半角检查</abilityName>
      <candidateList>
        <item>（</item>
      </candidateList>
      <explain>文本全半角错误。</explain>
      <paraID>4AF4818B</paraID>
      <start>4</start>
      <end>6</end>
      <status>modified</status>
      <modifiedWord>（</modifiedWord>
      <trackRevisions>true</trackRevisions>
    </reviewItem>
    <reviewItem>
      <errorID>cf869840-39be-4ce3-8a62-4a659f0eb8b8</errorID>
      <errorWord>)</errorWord>
      <group>L1_Format</group>
      <groupName>格式问题</groupName>
      <ability>L2_HalfPunc</ability>
      <abilityName>全半角检查</abilityName>
      <candidateList>
        <item>）</item>
      </candidateList>
      <explain>文本全半角错误。</explain>
      <paraID>4AF4818B</paraID>
      <start>7</start>
      <end>9</end>
      <status>modified</status>
      <modifiedWord>）</modifiedWord>
      <trackRevisions>true</trackRevisions>
    </reviewItem>
    <reviewItem>
      <errorID>5a1c3e30-542a-457f-80f8-2f53f9b9a951</errorID>
      <errorWord>发展和</errorWord>
      <group>L1_Word</group>
      <groupName>字词问题</groupName>
      <ability>L2_Typo</ability>
      <abilityName>字词错误</abilityName>
      <candidateList>
        <item>发展</item>
      </candidateList>
      <explain>〈动〉❶事物由小到大、由简单到复杂、由低级到高级的变化：事态还在～｜社会～规律。❷扩大（组织、规模等）：～新会员｜～轻纺工业。</explain>
      <paraID>559F811E</paraID>
      <start>171</start>
      <end>176</end>
      <status>modified</status>
      <modifiedWord>发展</modifiedWord>
      <trackRevisions>true</trackRevisions>
    </reviewItem>
    <reviewItem>
      <errorID>86ee80cd-40c4-4137-a089-bccfcf202f2d</errorID>
      <errorWord>处</errorWord>
      <group>L1_Word</group>
      <groupName>字词问题</groupName>
      <ability>L2_Typo</ability>
      <abilityName>字词错误</abilityName>
      <candidateList>
        <item>处于</item>
      </candidateList>
      <explain>〈动〉在某种地位或状态：～优势｜伤员～昏迷状态。</explain>
      <paraID>57713043</paraID>
      <start>152</start>
      <end>155</end>
      <status>modified</status>
      <modifiedWord>处于</modifiedWord>
      <trackRevisions>true</trackRevisions>
    </reviewItem>
    <reviewItem>
      <errorID>cc9aa8ad-4286-4af9-a3bd-c48af7deae4a</errorID>
      <errorWord>虽</errorWord>
      <group>L1_Word</group>
      <groupName>字词问题</groupName>
      <ability>L2_Typo</ability>
      <abilityName>字词错误</abilityName>
      <candidateList>
        <item>虽然</item>
      </candidateList>
      <explain/>
      <paraID> 10F23E4</paraID>
      <start>22</start>
      <end>25</end>
      <status>modified</status>
      <modifiedWord>虽然</modifiedWord>
      <trackRevisions>true</trackRevisions>
    </reviewItem>
    <reviewItem>
      <errorID>efd89f60-7802-416a-8405-7477435977c5</errorID>
      <errorWord>经济质量发展</errorWord>
      <group>L1_Political</group>
      <groupName>政治性问题</groupName>
      <ability>L2_Keyword</ability>
      <abilityName>固定表述</abilityName>
      <candidateList>
        <item>经济高质量发展</item>
      </candidateList>
      <explain>词汇“经济高质量发展”在特定场景下为固定表述形式，请确认此处的“经济质量发展”是否存在不当。</explain>
      <paraID>44F5B3B6</paraID>
      <start>0</start>
      <end>13</end>
      <status>modified</status>
      <modifiedWord>经济高质量发展</modifiedWord>
      <trackRevisions>true</trackRevisions>
    </reviewItem>
    <reviewItem>
      <errorID>a1b45ba2-4fcf-473b-b2c6-6b3be7dca6bb</errorID>
      <errorWord>＜</errorWord>
      <group>L1_Format</group>
      <groupName>格式问题</groupName>
      <ability>L2_HalfPunc</ability>
      <abilityName>全半角检查</abilityName>
      <candidateList>
        <item>&lt;</item>
      </candidateList>
      <explain>文本全半角错误。</explain>
      <paraID>146A1FA5</paraID>
      <start>0</start>
      <end>2</end>
      <status>modified</status>
      <modifiedWord>&lt;</modifiedWord>
      <trackRevisions>true</trackRevisions>
    </reviewItem>
    <reviewItem>
      <errorID>31e56c2b-f70d-43f1-addf-15c45123c53e</errorID>
      <errorWord>务</errorWord>
      <group>L1_Word</group>
      <groupName>字词问题</groupName>
      <ability>L2_Typo</ability>
      <abilityName>字词错误</abilityName>
      <candidateList>
        <item>务业</item>
      </candidateList>
      <explain/>
      <paraID>593A9C03</paraID>
      <start>106</start>
      <end>109</end>
      <status>modified</status>
      <modifiedWord>务业</modifiedWord>
      <trackRevisions>true</trackRevisions>
    </reviewItem>
    <reviewItem>
      <errorID>c3a22a6f-9187-47d9-abb4-ae4683ced90f</errorID>
      <errorWord>一二三产融合</errorWord>
      <group>L1_Political</group>
      <groupName>政治性问题</groupName>
      <ability>L2_Keyword</ability>
      <abilityName>固定表述</abilityName>
      <candidateList>
        <item>一二三产业融合</item>
      </candidateList>
      <explain>词汇“一二三产业融合”在特定场景下为固定表述形式，请确认此处的“一二三产融合”是否存在不当。</explain>
      <paraID>175AFC75</paraID>
      <start>380</start>
      <end>386</end>
      <status>ignored</status>
      <modifiedWord/>
      <trackRevisions>false</trackRevisions>
    </reviewItem>
    <reviewItem>
      <errorID>d64f5672-8086-4fe2-ba13-95d27540074b</errorID>
      <errorWord>补链延链强链</errorWord>
      <group>L1_Political</group>
      <groupName>政治性问题</groupName>
      <ability>L2_Unpolitical</ability>
      <abilityName>政治敏感错误</abilityName>
      <candidateList>
        <item>延链补链强链</item>
      </candidateList>
      <explain/>
      <paraID>1C9D445D</paraID>
      <start>64</start>
      <end>76</end>
      <status>modified</status>
      <modifiedWord>延链补链强链</modifiedWord>
      <trackRevisions>true</trackRevisions>
    </reviewItem>
    <reviewItem>
      <errorID>41bf91aa-8ec8-4b43-bbaf-453b72755a21</errorID>
      <errorWord>双招双引</errorWord>
      <group>L1_Political</group>
      <groupName>政治性问题</groupName>
      <ability>L2_Unpolitical</ability>
      <abilityName>政治敏感错误</abilityName>
      <candidateList>
        <item>“双招双引”</item>
      </candidateList>
      <explain/>
      <paraID>18879427</paraID>
      <start>329</start>
      <end>339</end>
      <status>modified</status>
      <modifiedWord>“双招双引”</modifiedWord>
      <trackRevisions>true</trackRevisions>
    </reviewItem>
    <reviewItem>
      <errorID>55c94dbf-20bd-4e6a-9bce-6ad3b567d423</errorID>
      <errorWord>高品质</errorWord>
      <group>L1_Grammar</group>
      <groupName>语法问题</groupName>
      <ability>L2_Grammar</ability>
      <abilityName>语法错误</abilityName>
      <candidateList>
        <item>高质量</item>
      </candidateList>
      <explain>“高品质～发展”搭配不当，建议修改为“高质量～发展”。</explain>
      <paraID>293F29BC</paraID>
      <start>8</start>
      <end>11</end>
      <status>ignored</status>
      <modifiedWord/>
      <trackRevisions>false</trackRevisions>
    </reviewItem>
    <reviewItem>
      <errorID>d225c866-a84e-4f56-b8b6-ac3cc4a48216</errorID>
      <errorWord>生活性</errorWord>
      <group>L1_Word</group>
      <groupName>字词问题</groupName>
      <ability>L2_Typo</ability>
      <abilityName>字词错误</abilityName>
      <candidateList>
        <item>生活</item>
      </candidateList>
      <explain>❶〈名〉人或生物为了生存和发展而进行的各种活动：政治～｜日常～｜观察蜜蜂和蚂蚁的～。❷〈动〉进行各种活动：老人一直和儿孙们～在一起。❸〈动〉生存：一个人脱离了社会就不能～下去。❹〈名〉衣、食、住、行等方面的情况：人民的～不断提高。❺〈方〉〈名〉活儿（主要指工业、农业、手工业方面的）：做～｜～忙。</explain>
      <paraID>293F29BC</paraID>
      <start>20</start>
      <end>23</end>
      <status>ignored</status>
      <modifiedWord/>
      <trackRevisions>false</trackRevisions>
    </reviewItem>
    <reviewItem>
      <errorID>6633ecd0-cdf4-48b3-90ea-3a0855ceff90</errorID>
      <errorWord>、和</errorWord>
      <group>L1_Punc</group>
      <groupName>标点问题</groupName>
      <ability>L2_Punc</ability>
      <abilityName>标点符号检查</abilityName>
      <candidateList>
        <item>和</item>
      </candidateList>
      <explain>“及”“和”“等”连词前不宜使用顿号，建议删除（或使用逗号）。</explain>
      <paraID>3F9927CA</paraID>
      <start>51</start>
      <end>53</end>
      <status>ignored</status>
      <modifiedWord/>
      <trackRevisions>false</trackRevisions>
    </reviewItem>
    <reviewItem>
      <errorID>c0ff4eb6-95b7-4c27-a087-8838dc05dc89</errorID>
      <errorWord>、和</errorWord>
      <group>L1_Punc</group>
      <groupName>标点问题</groupName>
      <ability>L2_Punc</ability>
      <abilityName>标点符号检查</abilityName>
      <candidateList>
        <item>和</item>
      </candidateList>
      <explain>“及”“和”“等”连词前不宜使用顿号，建议删除（或使用逗号）。</explain>
      <paraID>21F51E24</paraID>
      <start>107</start>
      <end>109</end>
      <status>ignored</status>
      <modifiedWord/>
      <trackRevisions>false</trackRevisions>
    </reviewItem>
    <reviewItem>
      <errorID>a89eb4d5-c688-459a-8eea-8ece80b24f8c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169DB784</paraID>
      <start>36</start>
      <end>41</end>
      <status>modified</status>
      <modifiedWord>”“</modifiedWord>
      <trackRevisions>true</trackRevisions>
    </reviewItem>
    <reviewItem>
      <errorID>18723c2c-de5f-4bf9-a682-1644ed639e77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169DB784</paraID>
      <start>45</start>
      <end>50</end>
      <status>modified</status>
      <modifiedWord>”“</modifiedWord>
      <trackRevisions>true</trackRevisions>
    </reviewItem>
    <reviewItem>
      <errorID>985a426b-4e9b-4c5b-ad9e-4165385e7e77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169DB784</paraID>
      <start>54</start>
      <end>59</end>
      <status>modified</status>
      <modifiedWord>”“</modifiedWord>
      <trackRevisions>true</trackRevisions>
    </reviewItem>
    <reviewItem>
      <errorID>e7d34536-e60d-4e28-a1b5-bb1bc459141e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3C8CAC83</paraID>
      <start>125</start>
      <end>130</end>
      <status>modified</status>
      <modifiedWord>”“</modifiedWord>
      <trackRevisions>true</trackRevisions>
    </reviewItem>
    <reviewItem>
      <errorID>00d32611-e329-4d39-a4bf-e238c7948b5b</errorID>
      <errorWord>花香</errorWord>
      <group>L1_Word</group>
      <groupName>字词问题</groupName>
      <ability>L2_Typo</ability>
      <abilityName>字词错误</abilityName>
      <candidateList>
        <item>香</item>
      </candidateList>
      <explain/>
      <paraID>7F459FB8</paraID>
      <start>124</start>
      <end>126</end>
      <status>ignored</status>
      <modifiedWord/>
      <trackRevisions>false</trackRevisions>
    </reviewItem>
    <reviewItem>
      <errorID>3d812185-2c1d-40e6-82be-358a8be4566f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4C36385F</paraID>
      <start>73</start>
      <end>78</end>
      <status>modified</status>
      <modifiedWord>”“</modifiedWord>
      <trackRevisions>true</trackRevisions>
    </reviewItem>
    <reviewItem>
      <errorID>c8cf8535-093c-4aa8-b581-5f4a52167af5</errorID>
      <errorWord>与</errorWord>
      <group>L1_Word</group>
      <groupName>字词问题</groupName>
      <ability>L2_Typo</ability>
      <abilityName>字词错误</abilityName>
      <candidateList>
        <item>和</item>
      </candidateList>
      <explain>〈量〉用于洗东西换水的次数或一剂药煎的次数：衣裳已经洗了三～｜二～药。</explain>
      <paraID>6546864A</paraID>
      <start>101</start>
      <end>103</end>
      <status>modified</status>
      <modifiedWord>和</modifiedWord>
      <trackRevisions>true</trackRevisions>
    </reviewItem>
    <reviewItem>
      <errorID>1127bb92-4502-4b5f-95fb-e7bcadb799f5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54CD7DB6</paraID>
      <start>63</start>
      <end>68</end>
      <status>modified</status>
      <modifiedWord>”“</modifiedWord>
      <trackRevisions>true</trackRevisions>
    </reviewItem>
    <reviewItem>
      <errorID>11218e0a-fcfd-499b-abb2-1efa8dbbff71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7AE6C750</paraID>
      <start>284</start>
      <end>289</end>
      <status>modified</status>
      <modifiedWord>”“</modifiedWord>
      <trackRevisions>true</trackRevisions>
    </reviewItem>
    <reviewItem>
      <errorID>9223893e-3c94-4bb0-b0ef-2dbecdf187aa</errorID>
      <errorWord>针对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explain>
      <paraID>4CD1B32F</paraID>
      <start>124</start>
      <end>127</end>
      <status>modified</status>
      <modifiedWord>对</modifiedWord>
      <trackRevisions>true</trackRevisions>
    </reviewItem>
    <reviewItem>
      <errorID>35fcd865-b035-426f-90e3-2b5899c06fab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13467ED2</paraID>
      <start>35</start>
      <end>40</end>
      <status>modified</status>
      <modifiedWord>”“</modifiedWord>
      <trackRevisions>true</trackRevisions>
    </reviewItem>
    <reviewItem>
      <errorID>3147bd5d-f512-4df3-9e5c-80985adeab37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13467ED2</paraID>
      <start>44</start>
      <end>49</end>
      <status>modified</status>
      <modifiedWord>”“</modifiedWord>
      <trackRevisions>true</trackRevisions>
    </reviewItem>
    <reviewItem>
      <errorID>08b61b34-1e81-4de8-9106-65313142db2a</errorID>
      <errorWord>便利地</errorWord>
      <group>L1_Word</group>
      <groupName>字词问题</groupName>
      <ability>L2_Typo</ability>
      <abilityName>字词错误</abilityName>
      <candidateList>
        <item>便利</item>
      </candidateList>
      <explain/>
      <paraID>4AB836D4</paraID>
      <start>31</start>
      <end>34</end>
      <status>ignored</status>
      <modifiedWord/>
      <trackRevisions>false</trackRevisions>
    </reviewItem>
    <reviewItem>
      <errorID>a3fefa43-501f-4545-a8b5-6f0b70fce0b5</errorID>
      <errorWord>市场化法治化国际化</errorWord>
      <group>L1_Political</group>
      <groupName>政治性问题</groupName>
      <ability>L2_Keyword</ability>
      <abilityName>固定表述</abilityName>
      <candidateList>
        <item>市场化、法治化、国际化</item>
      </candidateList>
      <explain>注意检查当前固定表述标点是否使用规范。</explain>
      <paraID>1D72564B</paraID>
      <start>6</start>
      <end>15</end>
      <status>ignored</status>
      <modifiedWord/>
      <trackRevisions>false</trackRevisions>
    </reviewItem>
    <reviewItem>
      <errorID>136bbc4a-bcec-47b8-857e-d69bb0098559</errorID>
      <errorWord>规则</errorWord>
      <group>L1_Grammar</group>
      <groupName>语法问题</groupName>
      <ability>L2_Grammar</ability>
      <abilityName>语法错误</abilityName>
      <candidateList>
        <item>规定</item>
      </candidateList>
      <explain>“执行～规则”搭配不当，建议修改为“执行～规定”。</explain>
      <paraID>736BE5BE</paraID>
      <start>163</start>
      <end>167</end>
      <status>modified</status>
      <modifiedWord>规定</modifiedWord>
      <trackRevisions>true</trackRevisions>
    </reviewItem>
    <reviewItem>
      <errorID>ede2b60e-8e35-4fe4-9c08-b7315197842d</errorID>
      <errorWord>一带一路</errorWord>
      <group>L1_Political</group>
      <groupName>政治性问题</groupName>
      <ability>L2_Keyword</ability>
      <abilityName>固定表述</abilityName>
      <candidateList>
        <item>‘一带一路’</item>
      </candidateList>
      <explain>注意检查当前固定表述标点是否使用规范。</explain>
      <paraID>36ACC756</paraID>
      <start>92</start>
      <end>96</end>
      <status>ignored</status>
      <modifiedWord/>
      <trackRevisions>false</trackRevisions>
    </reviewItem>
    <reviewItem>
      <errorID>99fb6993-96fb-41e6-89ba-1a0ada333c7d</errorID>
      <errorWord>现代城市基础设施体系</errorWord>
      <group>L1_Political</group>
      <groupName>政治性问题</groupName>
      <ability>L2_Keyword</ability>
      <abilityName>固定表述</abilityName>
      <candidateList>
        <item>现代化基础设施体系</item>
      </candidateList>
      <explain>词汇“现代化基础设施体系”在特定场景下为固定表述形式，请确认此处的“现代城市基础设施体系”是否存在不当。</explain>
      <paraID>20659D65</paraID>
      <start>303</start>
      <end>313</end>
      <status>ignored</status>
      <modifiedWord/>
      <trackRevisions>false</trackRevisions>
    </reviewItem>
    <reviewItem>
      <errorID>5b23f5d7-526d-453b-bc08-2bbacec03915</errorID>
      <errorWord>。。</errorWord>
      <group>L1_Punc</group>
      <groupName>标点问题</groupName>
      <ability>L2_Punc</ability>
      <abilityName>标点符号检查</abilityName>
      <candidateList>
        <item>。</item>
      </candidateList>
      <explain/>
      <paraID> 3800AFF</paraID>
      <start>100</start>
      <end>103</end>
      <status>modified</status>
      <modifiedWord>。</modifiedWord>
      <trackRevisions>true</trackRevisions>
    </reviewItem>
    <reviewItem>
      <errorID>8f0e48b3-78e2-4e6b-a59c-786df22e3aac</errorID>
      <errorWord>岭梅</errorWord>
      <group>L1_Word</group>
      <groupName>字词问题</groupName>
      <ability>L2_Typo</ability>
      <abilityName>字词错误</abilityName>
      <candidateList>
        <item>梅岭</item>
      </candidateList>
      <explain/>
      <paraID>47BB4B51</paraID>
      <start>64</start>
      <end>66</end>
      <status>ignored</status>
      <modifiedWord/>
      <trackRevisions>false</trackRevisions>
    </reviewItem>
    <reviewItem>
      <errorID>dd2f465e-ff01-49fd-92e5-25223b4171f9</errorID>
      <errorWord>创建</errorWord>
      <group>L1_Grammar</group>
      <groupName>语法问题</groupName>
      <ability>L2_Grammar</ability>
      <abilityName>语法错误</abilityName>
      <candidateList>
        <item>建立</item>
      </candidateList>
      <explain>“创建～机制”搭配不当，建议修改为“建立～机制”。</explain>
      <paraID>19A860E2</paraID>
      <start>135</start>
      <end>139</end>
      <status>modified</status>
      <modifiedWord>建立</modifiedWord>
      <trackRevisions>true</trackRevisions>
    </reviewItem>
    <reviewItem>
      <errorID>29f92984-5d32-4faf-a3b0-9b7c2ab90345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308AAF8D</paraID>
      <start>201</start>
      <end>206</end>
      <status>modified</status>
      <modifiedWord>”“</modifiedWord>
      <trackRevisions>true</trackRevisions>
    </reviewItem>
    <reviewItem>
      <errorID>7ea614a3-1870-42af-b4a7-55b4d5a612df</errorID>
      <errorWord>文化、旅游深度融合发展</errorWord>
      <group>L1_Political</group>
      <groupName>政治性问题</groupName>
      <ability>L2_Keyword</ability>
      <abilityName>固定表述</abilityName>
      <candidateList>
        <item>文化和旅游深度融合发展</item>
      </candidateList>
      <explain>词汇“文化和旅游深度融合发展”在特定场景下为固定表述形式，请确认此处的“文化、旅游深度融合发展”是否存在不当。</explain>
      <paraID>1E9D9BD2</paraID>
      <start>41</start>
      <end>63</end>
      <status>modified</status>
      <modifiedWord>文化和旅游深度融合发展</modifiedWord>
      <trackRevisions>true</trackRevisions>
    </reviewItem>
    <reviewItem>
      <errorID>cb8d14df-7e7c-4e40-a606-e7d1d6b7a451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1E9D9BD2</paraID>
      <start>154</start>
      <end>159</end>
      <status>modified</status>
      <modifiedWord>”“</modifiedWord>
      <trackRevisions>true</trackRevisions>
    </reviewItem>
    <reviewItem>
      <errorID>cc30ef74-bf49-4ace-8712-ee4caf940939</errorID>
      <errorWord>中华民族优秀传统文化</errorWord>
      <group>L1_Political</group>
      <groupName>政治性问题</groupName>
      <ability>L2_Unpolitical</ability>
      <abilityName>政治敏感错误</abilityName>
      <candidateList>
        <item>中华优秀传统文化</item>
      </candidateList>
      <explain/>
      <paraID>205F5400</paraID>
      <start>29</start>
      <end>47</end>
      <status>modified</status>
      <modifiedWord>中华优秀传统文化</modifiedWord>
      <trackRevisions>true</trackRevisions>
    </reviewItem>
    <reviewItem>
      <errorID>ca99d166-e8b3-4d15-bd6b-e599cb6f7496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15B30C1</paraID>
      <start>132</start>
      <end>137</end>
      <status>modified</status>
      <modifiedWord>”“</modifiedWord>
      <trackRevisions>true</trackRevisions>
    </reviewItem>
    <reviewItem>
      <errorID>d7c4828d-6012-4337-8667-8d26815e6d35</errorID>
      <errorWord>高质量育人体系</errorWord>
      <group>L1_Political</group>
      <groupName>政治性问题</groupName>
      <ability>L2_Keyword</ability>
      <abilityName>固定表述</abilityName>
      <candidateList>
        <item>高质量教育体系</item>
      </candidateList>
      <explain>词汇“高质量教育体系”在特定场景下为固定表述形式，请确认此处的“高质量育人体系”是否存在不当。</explain>
      <paraID>37441747</paraID>
      <start>2</start>
      <end>9</end>
      <status>ignored</status>
      <modifiedWord/>
      <trackRevisions>false</trackRevisions>
    </reviewItem>
    <reviewItem>
      <errorID>5b1385d9-a74c-4e76-8fe8-61761b847b42</errorID>
      <errorWord>"十五五"</errorWord>
      <group>L1_Political</group>
      <groupName>政治性问题</groupName>
      <ability>L2_Keyword</ability>
      <abilityName>固定表述</abilityName>
      <candidateList>
        <item>“十五五”</item>
      </candidateList>
      <explain>注意检查当前固定表述标点是否使用规范。</explain>
      <paraID>124CB2A2</paraID>
      <start>7</start>
      <end>17</end>
      <status>modified</status>
      <modifiedWord>“十五五”</modifiedWord>
      <trackRevisions>true</trackRevisions>
    </reviewItem>
    <reviewItem>
      <errorID>1715cd3b-625f-4711-8b62-ee647ac98697</errorID>
      <errorWord>参与与</errorWord>
      <group>L1_Word</group>
      <groupName>字词问题</groupName>
      <ability>L2_Typo</ability>
      <abilityName>字词错误</abilityName>
      <candidateList>
        <item>参与</item>
      </candidateList>
      <explain>（参预）cānyù〈动〉参加（事务的计划、讨论、处理）：～其事｜他曾～这个规划的制订工作。</explain>
      <paraID>52E95F1E</paraID>
      <start>6</start>
      <end>9</end>
      <status>ignored</status>
      <modifiedWord/>
      <trackRevisions>false</trackRevisions>
    </reviewItem>
    <reviewItem>
      <errorID>7b85e1f4-324a-4e46-b353-e191eae768e9</errorID>
      <errorWord>蓝天碧水净土</errorWord>
      <group>L1_Political</group>
      <groupName>政治性问题</groupName>
      <ability>L2_Keyword</ability>
      <abilityName>固定表述</abilityName>
      <candidateList>
        <item>蓝天、碧水、净土</item>
      </candidateList>
      <explain>注意检查当前固定表述标点是否使用规范。</explain>
      <paraID>378CDD0C</paraID>
      <start>112</start>
      <end>126</end>
      <status>modified</status>
      <modifiedWord>蓝天、碧水、净土</modifiedWord>
      <trackRevisions>true</trackRevisions>
    </reviewItem>
    <reviewItem>
      <errorID>7f81b7c0-3fd7-4b00-94a4-da42822da1be</errorID>
      <errorWord>城乡结合部</errorWord>
      <group>L1_Knowledge</group>
      <groupName>知识性问题</groupName>
      <ability>L2_Knowledge</ability>
      <abilityName>其他知识</abilityName>
      <candidateList>
        <item>城乡接合部</item>
      </candidateList>
      <explain/>
      <paraID>77962F1E</paraID>
      <start>24</start>
      <end>34</end>
      <status>modified</status>
      <modifiedWord>城乡接合部</modifiedWord>
      <trackRevisions>true</trackRevisions>
    </reviewItem>
    <reviewItem>
      <errorID>9565063d-2c56-4ff5-a030-34b34c38bba6</errorID>
      <errorWord>山水林田湖一体化保护</errorWord>
      <group>L1_Political</group>
      <groupName>政治性问题</groupName>
      <ability>L2_Keyword</ability>
      <abilityName>固定表述</abilityName>
      <candidateList>
        <item>山水林田湖草沙一体化保护</item>
      </candidateList>
      <explain>词汇“山水林田湖草沙一体化保护”在特定场景下为固定表述形式，请确认此处的“山水林田湖一体化保护”是否存在不当。</explain>
      <paraID>186A2520</paraID>
      <start>25</start>
      <end>35</end>
      <status>ignored</status>
      <modifiedWord/>
      <trackRevisions>false</trackRevisions>
    </reviewItem>
    <reviewItem>
      <errorID>753f2884-7482-432c-8bf9-527344d6dd43</errorID>
      <errorWord>生态价值实现机制</errorWord>
      <group>L1_Political</group>
      <groupName>政治性问题</groupName>
      <ability>L2_Keyword</ability>
      <abilityName>固定表述</abilityName>
      <candidateList>
        <item>生态产品价值实现机制</item>
      </candidateList>
      <explain>词汇“生态产品价值实现机制”在特定场景下为固定表述形式，请确认此处的“生态价值实现机制”是否存在不当。</explain>
      <paraID>186A2520</paraID>
      <start>246</start>
      <end>254</end>
      <status>ignored</status>
      <modifiedWord/>
      <trackRevisions>false</trackRevisions>
    </reviewItem>
    <reviewItem>
      <errorID>04377b55-7f25-4b2e-a53c-b250685e3ad5</errorID>
      <errorWord>增强</errorWord>
      <group>L1_Grammar</group>
      <groupName>语法问题</groupName>
      <ability>L2_Grammar</ability>
      <abilityName>语法错误</abilityName>
      <candidateList>
        <item>提升</item>
      </candidateList>
      <explain>“增强～水平”搭配不当，建议修改为“提升～水平”。</explain>
      <paraID>14FD7655</paraID>
      <start>215</start>
      <end>219</end>
      <status>modified</status>
      <modifiedWord>提升</modifiedWord>
      <trackRevisions>true</trackRevisions>
    </reviewItem>
    <reviewItem>
      <errorID>744da499-6c3a-4bdf-b71a-3af05722cf6a</errorID>
      <errorWord>打造打造</errorWord>
      <group>L1_Word</group>
      <groupName>字词问题</groupName>
      <ability>L2_Typo</ability>
      <abilityName>字词错误</abilityName>
      <candidateList>
        <item>打造</item>
      </candidateList>
      <explain/>
      <paraID>371B2052</paraID>
      <start>152</start>
      <end>158</end>
      <status>modified</status>
      <modifiedWord>打造</modifiedWord>
      <trackRevisions>true</trackRevisions>
    </reviewItem>
    <reviewItem>
      <errorID>5f63e4d1-7af5-4661-824d-34db20c0302e</errorID>
      <errorWord>美乡村建设</errorWord>
      <group>L1_Political</group>
      <groupName>政治性问题</groupName>
      <ability>L2_Keyword</ability>
      <abilityName>固定表述</abilityName>
      <candidateList>
        <item>美丽乡村建设</item>
      </candidateList>
      <explain>词汇“美丽乡村建设”在特定场景下为固定表述形式，请确认此处的“美乡村建设”是否存在不当。</explain>
      <paraID>69F93C49</paraID>
      <start>97</start>
      <end>102</end>
      <status>ignored</status>
      <modifiedWord/>
      <trackRevisions>false</trackRevisions>
    </reviewItem>
    <reviewItem>
      <errorID>fbc9a85e-6b72-4cb5-a87e-848906646707</errorID>
      <errorWord>常态化推进扫黑除恶斗争</errorWord>
      <group>L1_Political</group>
      <groupName>政治性问题</groupName>
      <ability>L2_Keyword</ability>
      <abilityName>固定表述</abilityName>
      <candidateList>
        <item>常态化开展扫黑除恶斗争</item>
      </candidateList>
      <explain>词汇“常态化开展扫黑除恶斗争”在特定场景下为固定表述形式，请确认此处的“常态化推进扫黑除恶斗争”是否存在不当。</explain>
      <paraID>7694802C</paraID>
      <start>52</start>
      <end>74</end>
      <status>modified</status>
      <modifiedWord>常态化开展扫黑除恶斗争</modifiedWord>
      <trackRevisions>true</trackRevisions>
    </reviewItem>
    <reviewItem>
      <errorID>8f5a27d8-fa04-4a36-82d3-6e9e220e3be2</errorID>
      <errorWord>提高</errorWord>
      <group>L1_Grammar</group>
      <groupName>语法问题</groupName>
      <ability>L2_Grammar</ability>
      <abilityName>语法错误</abilityName>
      <candidateList>
        <item>增强</item>
      </candidateList>
      <explain>“提高～意识”搭配不当，建议修改为“增强～意识”。</explain>
      <paraID> CD5AC93</paraID>
      <start>116</start>
      <end>120</end>
      <status>modified</status>
      <modifiedWord>增强</modifiedWord>
      <trackRevisions>true</trackRevisions>
    </reviewItem>
    <reviewItem>
      <errorID>61f43997-b09f-4b06-a6b6-d02ab2e8ced2</errorID>
      <errorWord>党中央重大决策部署工作机制</errorWord>
      <group>L1_Political</group>
      <groupName>政治性问题</groupName>
      <ability>L2_Keyword</ability>
      <abilityName>固定表述</abilityName>
      <candidateList>
        <item>党中央重大决策部署落实机制</item>
      </candidateList>
      <explain>词汇“党中央重大决策部署落实机制”在特定场景下为固定表述形式，请确认此处的“党中央重大决策部署工作机制”是否存在不当。</explain>
      <paraID>29F207E6</paraID>
      <start>21</start>
      <end>34</end>
      <status>ignored</status>
      <modifiedWord/>
      <trackRevisions>false</trackRevisions>
    </reviewItem>
    <reviewItem>
      <errorID>205fa135-7a05-45ab-8ef4-568f7cfb94e6</errorID>
      <errorWord>干部的</errorWord>
      <group>L1_Word</group>
      <groupName>字词问题</groupName>
      <ability>L2_Typo</ability>
      <abilityName>字词错误</abilityName>
      <candidateList>
        <item>干部</item>
      </candidateList>
      <explain>〈名〉❶国家机关、军队、人民团体中的公职人员（士兵、勤杂人员除外）。❷指担任一定的领导工作或管理工作的人员：工会～｜科室～。</explain>
      <paraID>31DB64FB</paraID>
      <start>170</start>
      <end>175</end>
      <status>modified</status>
      <modifiedWord>干部</modifiedWord>
      <trackRevisions>true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702cab-bdb4-45fe-955c-00636f1a8ed0}">
  <ds:schemaRefs/>
</ds:datastoreItem>
</file>

<file path=docProps/app.xml><?xml version="1.0" encoding="utf-8"?>
<Properties xmlns="http://schemas.openxmlformats.org/officeDocument/2006/extended-properties" xmlns:vt="http://schemas.openxmlformats.org/officeDocument/2006/docPropsVTypes">
  <Template>Normal.dotm</Template>
  <Pages>117</Pages>
  <Words>2036</Words>
  <Characters>2130</Characters>
  <Lines>0</Lines>
  <Paragraphs>0</Paragraphs>
  <TotalTime>1</TotalTime>
  <ScaleCrop>false</ScaleCrop>
  <LinksUpToDate>false</LinksUpToDate>
  <CharactersWithSpaces>2437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2025-07-01T00:57:00Z</dcterms:created>
  <dc:creator>框框</dc:creator>
  <cp:lastModifiedBy>Administrator</cp:lastModifiedBy>
  <dcterms:modified xsi:type="dcterms:W3CDTF">2026-01-20T09:17:29Z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19A656DF66834F35BF688227F2BA9521_13</vt:lpwstr>
  </property>
  <property fmtid="{D5CDD505-2E9C-101B-9397-08002B2CF9AE}" pid="4" name="KSOTemplateDocerSaveRecord">
    <vt:lpwstr>eyJoZGlkIjoiOWJiZjBjODdhNTlhNTU5ODRiMzlkNDU5NDgwMzY2NjAiLCJ1c2VySWQiOiIyNTUxNjcyMDcifQ==</vt:lpwstr>
  </property>
</Properties>
</file>