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07CDB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600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宾阳县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  <w:t>统计局行政检查频次上限规定</w:t>
      </w:r>
      <w:bookmarkEnd w:id="0"/>
    </w:p>
    <w:p w14:paraId="7FE2AE72"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861"/>
        <w:gridCol w:w="6661"/>
      </w:tblGrid>
      <w:tr w14:paraId="2D541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24" w:hRule="atLeast"/>
        </w:trPr>
        <w:tc>
          <w:tcPr>
            <w:tcW w:w="1861" w:type="dxa"/>
            <w:vAlign w:val="center"/>
          </w:tcPr>
          <w:p w14:paraId="26F65B4B">
            <w:pPr>
              <w:jc w:val="center"/>
              <w:rPr>
                <w:rFonts w:hint="eastAsia" w:ascii="宋体" w:hAnsi="宋体" w:eastAsia="宋体" w:cs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6661" w:type="dxa"/>
            <w:vAlign w:val="center"/>
          </w:tcPr>
          <w:p w14:paraId="2B7DC2EE">
            <w:pPr>
              <w:jc w:val="center"/>
              <w:rPr>
                <w:rFonts w:hint="eastAsia" w:ascii="宋体" w:hAnsi="宋体" w:eastAsia="宋体" w:cs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vertAlign w:val="baseline"/>
                <w:lang w:val="en-US" w:eastAsia="zh-CN"/>
              </w:rPr>
              <w:t>2025年度</w:t>
            </w:r>
          </w:p>
        </w:tc>
      </w:tr>
      <w:tr w14:paraId="66EDD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59" w:hRule="atLeast"/>
        </w:trPr>
        <w:tc>
          <w:tcPr>
            <w:tcW w:w="1861" w:type="dxa"/>
            <w:vAlign w:val="center"/>
          </w:tcPr>
          <w:p w14:paraId="11D81C61"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1</w:t>
            </w:r>
          </w:p>
        </w:tc>
        <w:tc>
          <w:tcPr>
            <w:tcW w:w="6661" w:type="dxa"/>
            <w:vAlign w:val="center"/>
          </w:tcPr>
          <w:p w14:paraId="7B1570FC">
            <w:pPr>
              <w:jc w:val="center"/>
              <w:rPr>
                <w:rFonts w:hint="eastAsia" w:ascii="宋体" w:hAnsi="宋体" w:eastAsia="宋体" w:cs="宋体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年度内同一行政机关对同一统计调查对象实施行政检查不超过1次</w:t>
            </w:r>
            <w:r>
              <w:rPr>
                <w:rFonts w:hint="eastAsia" w:ascii="宋体" w:hAnsi="宋体" w:eastAsia="宋体" w:cs="宋体"/>
                <w:vertAlign w:val="baseline"/>
                <w:lang w:eastAsia="zh-CN"/>
              </w:rPr>
              <w:t>。</w:t>
            </w:r>
          </w:p>
        </w:tc>
      </w:tr>
      <w:tr w14:paraId="3D317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861" w:type="dxa"/>
            <w:vAlign w:val="center"/>
          </w:tcPr>
          <w:p w14:paraId="026AA81D"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2</w:t>
            </w:r>
          </w:p>
        </w:tc>
        <w:tc>
          <w:tcPr>
            <w:tcW w:w="6661" w:type="dxa"/>
            <w:vAlign w:val="center"/>
          </w:tcPr>
          <w:p w14:paraId="25BB1B32">
            <w:pPr>
              <w:jc w:val="center"/>
              <w:rPr>
                <w:rFonts w:hint="eastAsia" w:ascii="宋体" w:hAnsi="宋体" w:eastAsia="宋体" w:cs="宋体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根据投诉举报、转办交办、数据监测等线索确需实施行政检查,不受频次上限限制但不得明显超过合理频次</w:t>
            </w:r>
            <w:r>
              <w:rPr>
                <w:rFonts w:hint="eastAsia" w:ascii="宋体" w:hAnsi="宋体" w:eastAsia="宋体" w:cs="宋体"/>
                <w:vertAlign w:val="baseline"/>
                <w:lang w:eastAsia="zh-CN"/>
              </w:rPr>
              <w:t>。</w:t>
            </w:r>
          </w:p>
        </w:tc>
      </w:tr>
    </w:tbl>
    <w:p w14:paraId="4D5D71BD">
      <w:pPr>
        <w:rPr>
          <w:rFonts w:hint="eastAsia"/>
        </w:rPr>
      </w:pPr>
    </w:p>
    <w:p w14:paraId="3F44CAE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6D1AA7"/>
    <w:rsid w:val="496D1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2025-12-15T01:59:00Z</dcterms:created>
  <dc:creator>Sadalsuud</dc:creator>
  <cp:lastModifiedBy>Sadalsuud</cp:lastModifiedBy>
  <dcterms:modified xsi:type="dcterms:W3CDTF">2025-12-15T02:05:15Z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EA1A6E05F1AB4F8FA540263CDFA3E573_11</vt:lpwstr>
  </property>
  <property fmtid="{D5CDD505-2E9C-101B-9397-08002B2CF9AE}" pid="4" name="KSOTemplateDocerSaveRecord">
    <vt:lpwstr>eyJoZGlkIjoiN2VjNzU3ZmYwNWM3OTFlYTc1MTNlMjU4M2Y1MWFhNDAiLCJ1c2VySWQiOiI1NzYzMzk5NTQifQ==</vt:lpwstr>
  </property>
</Properties>
</file>